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8" w:rsidRDefault="00C92B98" w:rsidP="00C92B98">
      <w:pPr>
        <w:pStyle w:val="1"/>
      </w:pPr>
      <w:bookmarkStart w:id="0" w:name="_Hlk519749049"/>
      <w:r>
        <w:t xml:space="preserve">ОСНОВНЫЕ ТРЕНДЫ ПОВЕДЕНЧЕСКИХ РИСКОВ, </w:t>
      </w:r>
      <w:r>
        <w:br/>
        <w:t>ОПАСНЫХ ДЛЯ ЗДОР</w:t>
      </w:r>
      <w:r>
        <w:t>О</w:t>
      </w:r>
      <w:r>
        <w:t>ВЬЯ</w:t>
      </w:r>
    </w:p>
    <w:p w:rsidR="00C92B98" w:rsidRDefault="00C92B98" w:rsidP="00C92B98">
      <w:pPr>
        <w:pStyle w:val="2"/>
      </w:pPr>
      <w:r>
        <w:t>В.Р. Кучма, С.Б. Соколова</w:t>
      </w:r>
    </w:p>
    <w:p w:rsidR="00C92B98" w:rsidRDefault="00C92B98" w:rsidP="00C92B98">
      <w:pPr>
        <w:pStyle w:val="3"/>
      </w:pPr>
      <w:r>
        <w:t>Национальный медицинский исследовательский центр здоровья детей, Россия, 119991,</w:t>
      </w:r>
      <w:r>
        <w:rPr>
          <w:rFonts w:ascii="Arial" w:hAnsi="Arial"/>
        </w:rPr>
        <w:t xml:space="preserve"> </w:t>
      </w:r>
      <w:r>
        <w:t>г. Москва, Ломоносовский проспект, 2, стр. 1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bookmarkEnd w:id="0"/>
    <w:p w:rsidR="00C92B98" w:rsidRPr="00193FD0" w:rsidRDefault="00C92B98" w:rsidP="00C92B98">
      <w:pPr>
        <w:pStyle w:val="a7"/>
        <w:rPr>
          <w:spacing w:val="0"/>
        </w:rPr>
      </w:pPr>
      <w:r w:rsidRPr="00193FD0">
        <w:rPr>
          <w:spacing w:val="0"/>
        </w:rPr>
        <w:t>Анализ и систематизация данных, полученных в исследованиях «Поведение детей школьного возраста в отнош</w:t>
      </w:r>
      <w:r w:rsidRPr="00193FD0">
        <w:rPr>
          <w:spacing w:val="0"/>
        </w:rPr>
        <w:t>е</w:t>
      </w:r>
      <w:r w:rsidRPr="00193FD0">
        <w:rPr>
          <w:spacing w:val="0"/>
        </w:rPr>
        <w:t>нии здоровья» (</w:t>
      </w:r>
      <w:proofErr w:type="spellStart"/>
      <w:r w:rsidRPr="00193FD0">
        <w:rPr>
          <w:spacing w:val="0"/>
        </w:rPr>
        <w:t>Health</w:t>
      </w:r>
      <w:proofErr w:type="spellEnd"/>
      <w:r w:rsidRPr="00193FD0">
        <w:rPr>
          <w:spacing w:val="0"/>
        </w:rPr>
        <w:t xml:space="preserve"> </w:t>
      </w:r>
      <w:proofErr w:type="spellStart"/>
      <w:r w:rsidRPr="00193FD0">
        <w:rPr>
          <w:spacing w:val="0"/>
        </w:rPr>
        <w:t>Behaviour</w:t>
      </w:r>
      <w:proofErr w:type="spellEnd"/>
      <w:r w:rsidRPr="00193FD0">
        <w:rPr>
          <w:spacing w:val="0"/>
        </w:rPr>
        <w:t xml:space="preserve"> </w:t>
      </w:r>
      <w:proofErr w:type="spellStart"/>
      <w:r w:rsidRPr="00193FD0">
        <w:rPr>
          <w:spacing w:val="0"/>
        </w:rPr>
        <w:t>in</w:t>
      </w:r>
      <w:proofErr w:type="spellEnd"/>
      <w:r w:rsidRPr="00193FD0">
        <w:rPr>
          <w:spacing w:val="0"/>
        </w:rPr>
        <w:t xml:space="preserve"> </w:t>
      </w:r>
      <w:proofErr w:type="spellStart"/>
      <w:r w:rsidRPr="00193FD0">
        <w:rPr>
          <w:spacing w:val="0"/>
        </w:rPr>
        <w:t>School-Aged</w:t>
      </w:r>
      <w:proofErr w:type="spellEnd"/>
      <w:r w:rsidRPr="00193FD0">
        <w:rPr>
          <w:spacing w:val="0"/>
        </w:rPr>
        <w:t xml:space="preserve"> </w:t>
      </w:r>
      <w:proofErr w:type="spellStart"/>
      <w:r w:rsidRPr="00193FD0">
        <w:rPr>
          <w:spacing w:val="0"/>
        </w:rPr>
        <w:t>Children</w:t>
      </w:r>
      <w:proofErr w:type="spellEnd"/>
      <w:r w:rsidRPr="00193FD0">
        <w:rPr>
          <w:spacing w:val="0"/>
        </w:rPr>
        <w:t xml:space="preserve"> – HBSC), выявили основные тренды поведенческих рисков, опасных для здоровья, среди российских школьников 11, 13 и 15 лет. </w:t>
      </w:r>
      <w:r w:rsidRPr="00193FD0">
        <w:rPr>
          <w:spacing w:val="0"/>
          <w:kern w:val="24"/>
        </w:rPr>
        <w:t xml:space="preserve">Использовались данные международных отчетов обследований «Поведение детей школьного возраста в отношении здоровья» (HBSC) за 1993, 1997, 2001, 2005, 2009, 2013 г. </w:t>
      </w:r>
      <w:r w:rsidRPr="00193FD0">
        <w:rPr>
          <w:spacing w:val="0"/>
          <w:lang w:eastAsia="ru-RU"/>
        </w:rPr>
        <w:t>Материалы исследования были подвергнуты статистической обработке с использованием методов непар</w:t>
      </w:r>
      <w:r w:rsidRPr="00193FD0">
        <w:rPr>
          <w:spacing w:val="0"/>
          <w:lang w:eastAsia="ru-RU"/>
        </w:rPr>
        <w:t>а</w:t>
      </w:r>
      <w:r w:rsidRPr="00193FD0">
        <w:rPr>
          <w:spacing w:val="0"/>
          <w:lang w:eastAsia="ru-RU"/>
        </w:rPr>
        <w:t xml:space="preserve">метрического анализа. </w:t>
      </w:r>
      <w:r w:rsidRPr="006766F8">
        <w:rPr>
          <w:spacing w:val="0"/>
          <w:kern w:val="24"/>
        </w:rPr>
        <w:t>Сравнивалась распространенность факторов риска между 11, 13 и 15-летними, мальчиками и девочками; в динамике лет, с другими странами.</w:t>
      </w:r>
      <w:r w:rsidRPr="00471F76">
        <w:rPr>
          <w:spacing w:val="-2"/>
          <w:kern w:val="24"/>
        </w:rPr>
        <w:t xml:space="preserve"> </w:t>
      </w:r>
      <w:r w:rsidRPr="00471F76">
        <w:rPr>
          <w:spacing w:val="-2"/>
        </w:rPr>
        <w:t>Выявлены возрастные, гендерные особенности поведенческих факт</w:t>
      </w:r>
      <w:r w:rsidRPr="00471F76">
        <w:rPr>
          <w:spacing w:val="-2"/>
        </w:rPr>
        <w:t>о</w:t>
      </w:r>
      <w:r w:rsidRPr="00471F76">
        <w:rPr>
          <w:spacing w:val="-2"/>
        </w:rPr>
        <w:t>ров, влияющих на здоровье, распространенность их в динамике лет и в сравнении с зарубежными сверстниками. Многие рискованные формы поведения более распространены среди мальчиков. С 1993 г. можно отметить увеличение показат</w:t>
      </w:r>
      <w:r w:rsidRPr="00471F76">
        <w:rPr>
          <w:spacing w:val="-2"/>
        </w:rPr>
        <w:t>е</w:t>
      </w:r>
      <w:r w:rsidRPr="00471F76">
        <w:rPr>
          <w:spacing w:val="-2"/>
        </w:rPr>
        <w:t>лей, связанных с рискованным пове</w:t>
      </w:r>
      <w:r w:rsidRPr="00471F76">
        <w:rPr>
          <w:spacing w:val="-2"/>
        </w:rPr>
        <w:softHyphen/>
        <w:t xml:space="preserve">дением </w:t>
      </w:r>
      <w:r w:rsidRPr="00471F76">
        <w:rPr>
          <w:spacing w:val="-2"/>
          <w:kern w:val="24"/>
        </w:rPr>
        <w:t xml:space="preserve">среди российских </w:t>
      </w:r>
      <w:r w:rsidRPr="00471F76">
        <w:rPr>
          <w:spacing w:val="-2"/>
        </w:rPr>
        <w:t>девочек</w:t>
      </w:r>
      <w:r w:rsidRPr="00471F76">
        <w:rPr>
          <w:spacing w:val="-2"/>
          <w:kern w:val="24"/>
        </w:rPr>
        <w:t xml:space="preserve">. </w:t>
      </w:r>
      <w:r w:rsidRPr="00471F76">
        <w:rPr>
          <w:spacing w:val="-2"/>
        </w:rPr>
        <w:t>За последнее десятилетие наметились положител</w:t>
      </w:r>
      <w:r w:rsidRPr="00471F76">
        <w:rPr>
          <w:spacing w:val="-2"/>
        </w:rPr>
        <w:t>ь</w:t>
      </w:r>
      <w:r w:rsidRPr="00471F76">
        <w:rPr>
          <w:spacing w:val="-2"/>
        </w:rPr>
        <w:t xml:space="preserve">ные тенденции в распространенности поведенческих факторов риска. </w:t>
      </w:r>
      <w:proofErr w:type="gramStart"/>
      <w:r w:rsidRPr="006766F8">
        <w:rPr>
          <w:spacing w:val="-2"/>
        </w:rPr>
        <w:t>Однако, по сравнению со сверстниками из бол</w:t>
      </w:r>
      <w:r w:rsidRPr="006766F8">
        <w:rPr>
          <w:spacing w:val="-2"/>
        </w:rPr>
        <w:t>ь</w:t>
      </w:r>
      <w:r w:rsidRPr="006766F8">
        <w:rPr>
          <w:spacing w:val="-2"/>
        </w:rPr>
        <w:t xml:space="preserve">шинства зарубежных стран, российские подростки более негативно воспринимают школьную среду, чаще оценивают свое здоровье как плохое, меньше удовлетворены своей жизнью, реже употребляют фрукты, меньше уделяют внимания </w:t>
      </w:r>
      <w:r w:rsidRPr="00BA21D4">
        <w:rPr>
          <w:spacing w:val="-2"/>
        </w:rPr>
        <w:t>гигиене</w:t>
      </w:r>
      <w:r w:rsidRPr="00471F76">
        <w:rPr>
          <w:spacing w:val="-2"/>
        </w:rPr>
        <w:t xml:space="preserve"> </w:t>
      </w:r>
      <w:r w:rsidRPr="006766F8">
        <w:rPr>
          <w:spacing w:val="-2"/>
        </w:rPr>
        <w:t>полости рта, ведут малоподвижный образ жизни; среди подростков младшей возрастной группы формы повед</w:t>
      </w:r>
      <w:r w:rsidRPr="006766F8">
        <w:rPr>
          <w:spacing w:val="-2"/>
        </w:rPr>
        <w:t>е</w:t>
      </w:r>
      <w:r w:rsidRPr="006766F8">
        <w:rPr>
          <w:spacing w:val="-2"/>
        </w:rPr>
        <w:t>ния, сопряженные с риском (</w:t>
      </w:r>
      <w:proofErr w:type="spellStart"/>
      <w:r w:rsidRPr="006766F8">
        <w:rPr>
          <w:spacing w:val="-2"/>
        </w:rPr>
        <w:t>табакокурение</w:t>
      </w:r>
      <w:proofErr w:type="spellEnd"/>
      <w:r w:rsidRPr="006766F8">
        <w:rPr>
          <w:spacing w:val="-2"/>
        </w:rPr>
        <w:t>, употребление алкоголя, агрессивное поведение), более распространены</w:t>
      </w:r>
      <w:r w:rsidRPr="00471F76">
        <w:rPr>
          <w:spacing w:val="-2"/>
        </w:rPr>
        <w:t>.</w:t>
      </w:r>
      <w:proofErr w:type="gramEnd"/>
      <w:r w:rsidRPr="00471F76">
        <w:rPr>
          <w:spacing w:val="-2"/>
        </w:rPr>
        <w:t xml:space="preserve"> При создании программ по формированию здорового образа жизни следует учитывать возрастные, гендерные различия, те</w:t>
      </w:r>
      <w:r w:rsidRPr="00471F76">
        <w:rPr>
          <w:spacing w:val="-2"/>
        </w:rPr>
        <w:t>н</w:t>
      </w:r>
      <w:r w:rsidRPr="00471F76">
        <w:rPr>
          <w:spacing w:val="-2"/>
        </w:rPr>
        <w:t>денции в отношении поведен</w:t>
      </w:r>
      <w:r w:rsidRPr="00471F76">
        <w:rPr>
          <w:spacing w:val="-2"/>
        </w:rPr>
        <w:softHyphen/>
        <w:t>ческих факторов риска, меняющиеся с течением времени, которые можно объективно оценить с помощью международного опросника «Поведение детей школьного возра</w:t>
      </w:r>
      <w:r w:rsidRPr="00471F76">
        <w:rPr>
          <w:spacing w:val="-2"/>
        </w:rPr>
        <w:t>с</w:t>
      </w:r>
      <w:r w:rsidRPr="00471F76">
        <w:rPr>
          <w:spacing w:val="-2"/>
        </w:rPr>
        <w:t>та в отношении здоровья».</w:t>
      </w:r>
    </w:p>
    <w:p w:rsidR="006C7A90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  <w:r w:rsidRPr="00C92B98">
        <w:rPr>
          <w:rFonts w:ascii="Times New Roman" w:hAnsi="Times New Roman" w:cs="Times New Roman"/>
          <w:b/>
          <w:bCs/>
          <w:i/>
          <w:iCs/>
          <w:sz w:val="18"/>
        </w:rPr>
        <w:t>Ключевые слова</w:t>
      </w:r>
      <w:r w:rsidRPr="00C92B98">
        <w:rPr>
          <w:rFonts w:ascii="Times New Roman" w:hAnsi="Times New Roman" w:cs="Times New Roman"/>
          <w:i/>
          <w:iCs/>
          <w:sz w:val="18"/>
        </w:rPr>
        <w:t>: гигиена детей и подростков, поведенческий риск</w:t>
      </w:r>
      <w:r w:rsidRPr="00C92B98">
        <w:rPr>
          <w:rFonts w:ascii="Times New Roman" w:hAnsi="Times New Roman" w:cs="Times New Roman"/>
          <w:i/>
          <w:sz w:val="18"/>
        </w:rPr>
        <w:t xml:space="preserve">, </w:t>
      </w:r>
      <w:r w:rsidRPr="00C92B98">
        <w:rPr>
          <w:rFonts w:ascii="Times New Roman" w:hAnsi="Times New Roman" w:cs="Times New Roman"/>
          <w:i/>
          <w:sz w:val="18"/>
          <w:lang w:eastAsia="ru-RU"/>
        </w:rPr>
        <w:t xml:space="preserve">непараметрический анализ, </w:t>
      </w:r>
      <w:r w:rsidRPr="00C92B98">
        <w:rPr>
          <w:rFonts w:ascii="Times New Roman" w:hAnsi="Times New Roman" w:cs="Times New Roman"/>
          <w:i/>
          <w:sz w:val="18"/>
        </w:rPr>
        <w:t>динамика лет, гендерное отличие, здоровый образ жизни, международный опросник.</w:t>
      </w:r>
    </w:p>
    <w:p w:rsidR="00C92B98" w:rsidRDefault="00C92B98" w:rsidP="00C92B98">
      <w:pPr>
        <w:pStyle w:val="1"/>
      </w:pPr>
    </w:p>
    <w:p w:rsidR="00C92B98" w:rsidRDefault="00C92B98" w:rsidP="00C92B98">
      <w:pPr>
        <w:pStyle w:val="1"/>
      </w:pPr>
      <w:r>
        <w:t xml:space="preserve">НАУЧНО-МЕТОДИЧЕСКИЕ АСПЕКТЫ ЛАБОРАТОРНОГО </w:t>
      </w:r>
      <w:r>
        <w:br/>
        <w:t xml:space="preserve">ОБЕСПЕЧЕНИЯ ХИМИЧЕСКОЙ БЕЗОПАСНОСТИ МАССОВЫХ </w:t>
      </w:r>
      <w:r>
        <w:br/>
        <w:t>МЕЖДУНАРОДНЫХ МЕР</w:t>
      </w:r>
      <w:r>
        <w:t>О</w:t>
      </w:r>
      <w:r>
        <w:t>ПРИЯТИЙ</w:t>
      </w:r>
    </w:p>
    <w:p w:rsidR="00C92B98" w:rsidRDefault="00C92B98" w:rsidP="00C92B98">
      <w:pPr>
        <w:pStyle w:val="2"/>
        <w:rPr>
          <w:vertAlign w:val="superscript"/>
        </w:rPr>
      </w:pPr>
      <w:r>
        <w:t>А.Ю. Попова</w:t>
      </w:r>
      <w:r>
        <w:rPr>
          <w:vertAlign w:val="superscript"/>
        </w:rPr>
        <w:t>1</w:t>
      </w:r>
      <w:r>
        <w:t>, Н.В. Зайцева</w:t>
      </w:r>
      <w:r>
        <w:rPr>
          <w:vertAlign w:val="superscript"/>
        </w:rPr>
        <w:t>2</w:t>
      </w:r>
      <w:r>
        <w:t>, Г.В. Карпущенко</w:t>
      </w:r>
      <w:r>
        <w:rPr>
          <w:vertAlign w:val="superscript"/>
        </w:rPr>
        <w:t>3</w:t>
      </w:r>
    </w:p>
    <w:p w:rsidR="00C92B98" w:rsidRDefault="00C92B98" w:rsidP="00C92B98">
      <w:pPr>
        <w:pStyle w:val="3"/>
      </w:pPr>
      <w:proofErr w:type="gramStart"/>
      <w:r>
        <w:rPr>
          <w:vertAlign w:val="superscript"/>
        </w:rPr>
        <w:t>1</w:t>
      </w:r>
      <w:r>
        <w:t>Российская медицинская академия последипломного образования, Россия, 123995, г. Москва, ул. Баррикадная, 2/1</w:t>
      </w:r>
      <w:r>
        <w:br/>
      </w:r>
      <w:r>
        <w:rPr>
          <w:vertAlign w:val="superscript"/>
        </w:rPr>
        <w:t>2</w:t>
      </w:r>
      <w:r>
        <w:t>Федеральный научный центр медико-профилактических технологий управления рисками здоровью населения, Россия, 614045, г. Пермь, ул. Монасты</w:t>
      </w:r>
      <w:r>
        <w:t>р</w:t>
      </w:r>
      <w:r>
        <w:t>ская, 82</w:t>
      </w:r>
      <w:r>
        <w:br/>
      </w:r>
      <w:r>
        <w:rPr>
          <w:vertAlign w:val="superscript"/>
        </w:rPr>
        <w:t>3</w:t>
      </w:r>
      <w:r>
        <w:t>Центр гигиены и эпидемиологии в Ростовской области, Россия, 344019, г. Ростов-на-Дону, 7-я линия, 67</w:t>
      </w:r>
      <w:proofErr w:type="gramEnd"/>
    </w:p>
    <w:p w:rsidR="00C92B98" w:rsidRPr="00556F85" w:rsidRDefault="00C92B98" w:rsidP="00C92B98">
      <w:pPr>
        <w:pStyle w:val="a6"/>
        <w:rPr>
          <w:sz w:val="16"/>
          <w:szCs w:val="16"/>
        </w:rPr>
      </w:pPr>
    </w:p>
    <w:p w:rsidR="00C92B98" w:rsidRPr="00556F85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2C1DA8" w:rsidRDefault="00C92B98" w:rsidP="00C92B98">
      <w:pPr>
        <w:pStyle w:val="a7"/>
      </w:pPr>
      <w:r w:rsidRPr="002C1DA8">
        <w:rPr>
          <w:lang w:eastAsia="ru-RU"/>
        </w:rPr>
        <w:t>Международные правовые акты, определяющие проведение на территории нашей страны различных масс</w:t>
      </w:r>
      <w:r w:rsidRPr="002C1DA8">
        <w:rPr>
          <w:lang w:eastAsia="ru-RU"/>
        </w:rPr>
        <w:t>о</w:t>
      </w:r>
      <w:r w:rsidRPr="002C1DA8">
        <w:rPr>
          <w:lang w:eastAsia="ru-RU"/>
        </w:rPr>
        <w:t>вых международных мероприятий, обязывают Российскую Ф</w:t>
      </w:r>
      <w:r w:rsidRPr="002C1DA8">
        <w:rPr>
          <w:lang w:eastAsia="ru-RU"/>
        </w:rPr>
        <w:t>е</w:t>
      </w:r>
      <w:r w:rsidRPr="002C1DA8">
        <w:rPr>
          <w:lang w:eastAsia="ru-RU"/>
        </w:rPr>
        <w:t>дерацию обеспечить их безопасность, в том числе санитарно-эпидемиологическое благополучие гостей и участников данных событий. Одной из особенностей пров</w:t>
      </w:r>
      <w:r w:rsidRPr="002C1DA8">
        <w:rPr>
          <w:lang w:eastAsia="ru-RU"/>
        </w:rPr>
        <w:t>е</w:t>
      </w:r>
      <w:r w:rsidRPr="002C1DA8">
        <w:rPr>
          <w:lang w:eastAsia="ru-RU"/>
        </w:rPr>
        <w:t>дения массовых международных мероприятий является их высокая временная концентрация, что с гигиенической точки зрения обусл</w:t>
      </w:r>
      <w:r>
        <w:rPr>
          <w:lang w:eastAsia="ru-RU"/>
        </w:rPr>
        <w:t>о</w:t>
      </w:r>
      <w:r w:rsidRPr="002C1DA8">
        <w:rPr>
          <w:lang w:eastAsia="ru-RU"/>
        </w:rPr>
        <w:t>вливает кратковременную экспозицию факторов среды обитания на гостей и участников да</w:t>
      </w:r>
      <w:r w:rsidRPr="002C1DA8">
        <w:rPr>
          <w:lang w:eastAsia="ru-RU"/>
        </w:rPr>
        <w:t>н</w:t>
      </w:r>
      <w:r w:rsidRPr="002C1DA8">
        <w:rPr>
          <w:lang w:eastAsia="ru-RU"/>
        </w:rPr>
        <w:t>ных событий. На сегодняшний день в нашей стране накоплен огромный опыт обеспечения гигиенической безопасности насел</w:t>
      </w:r>
      <w:r w:rsidRPr="002C1DA8">
        <w:rPr>
          <w:lang w:eastAsia="ru-RU"/>
        </w:rPr>
        <w:t>е</w:t>
      </w:r>
      <w:r w:rsidRPr="002C1DA8">
        <w:rPr>
          <w:lang w:eastAsia="ru-RU"/>
        </w:rPr>
        <w:t>ния при проведении массовых международных мероприятий.</w:t>
      </w:r>
    </w:p>
    <w:p w:rsidR="00C92B98" w:rsidRPr="002C1DA8" w:rsidRDefault="00C92B98" w:rsidP="00C92B98">
      <w:pPr>
        <w:pStyle w:val="a7"/>
        <w:rPr>
          <w:spacing w:val="0"/>
          <w:lang w:eastAsia="ru-RU"/>
        </w:rPr>
      </w:pPr>
      <w:r w:rsidRPr="002C1DA8">
        <w:rPr>
          <w:spacing w:val="0"/>
          <w:lang w:eastAsia="ru-RU"/>
        </w:rPr>
        <w:t>Целью настоящих научных исследований является определение приоритетных</w:t>
      </w:r>
      <w:r>
        <w:rPr>
          <w:spacing w:val="0"/>
          <w:lang w:eastAsia="ru-RU"/>
        </w:rPr>
        <w:t>,</w:t>
      </w:r>
      <w:r w:rsidRPr="002C1DA8">
        <w:rPr>
          <w:spacing w:val="0"/>
          <w:lang w:eastAsia="ru-RU"/>
        </w:rPr>
        <w:t xml:space="preserve"> структурированных по задачам направлений лабораторного и информационно-аналитического обеспечения деятельности органов </w:t>
      </w:r>
      <w:proofErr w:type="spellStart"/>
      <w:r w:rsidRPr="002C1DA8">
        <w:rPr>
          <w:spacing w:val="0"/>
          <w:lang w:eastAsia="ru-RU"/>
        </w:rPr>
        <w:t>Роспотребнадз</w:t>
      </w:r>
      <w:r w:rsidRPr="002C1DA8">
        <w:rPr>
          <w:spacing w:val="0"/>
          <w:lang w:eastAsia="ru-RU"/>
        </w:rPr>
        <w:t>о</w:t>
      </w:r>
      <w:r w:rsidRPr="002C1DA8">
        <w:rPr>
          <w:spacing w:val="0"/>
          <w:lang w:eastAsia="ru-RU"/>
        </w:rPr>
        <w:t>ра</w:t>
      </w:r>
      <w:proofErr w:type="spellEnd"/>
      <w:r w:rsidRPr="002C1DA8">
        <w:rPr>
          <w:spacing w:val="0"/>
          <w:lang w:eastAsia="ru-RU"/>
        </w:rPr>
        <w:t xml:space="preserve"> по решению проблем в области гигиенической безопасности массовых международных мероприятий на разли</w:t>
      </w:r>
      <w:r w:rsidRPr="002C1DA8">
        <w:rPr>
          <w:spacing w:val="0"/>
          <w:lang w:eastAsia="ru-RU"/>
        </w:rPr>
        <w:t>ч</w:t>
      </w:r>
      <w:r w:rsidRPr="002C1DA8">
        <w:rPr>
          <w:spacing w:val="0"/>
          <w:lang w:eastAsia="ru-RU"/>
        </w:rPr>
        <w:t>ных этапах их подготовки и проведения в зависимости от масштабности и с</w:t>
      </w:r>
      <w:r w:rsidRPr="002C1DA8">
        <w:rPr>
          <w:spacing w:val="0"/>
          <w:lang w:eastAsia="ru-RU"/>
        </w:rPr>
        <w:t>о</w:t>
      </w:r>
      <w:r w:rsidRPr="002C1DA8">
        <w:rPr>
          <w:spacing w:val="0"/>
          <w:lang w:eastAsia="ru-RU"/>
        </w:rPr>
        <w:t>циальной значимости</w:t>
      </w:r>
    </w:p>
    <w:p w:rsidR="00C92B98" w:rsidRPr="002C1DA8" w:rsidRDefault="00C92B98" w:rsidP="00C92B98">
      <w:pPr>
        <w:pStyle w:val="a7"/>
        <w:rPr>
          <w:spacing w:val="-2"/>
          <w:lang w:eastAsia="ru-RU"/>
        </w:rPr>
      </w:pPr>
      <w:r w:rsidRPr="002C1DA8">
        <w:rPr>
          <w:spacing w:val="-2"/>
          <w:lang w:eastAsia="ru-RU"/>
        </w:rPr>
        <w:t xml:space="preserve">В настоящей статье определена актуальность </w:t>
      </w:r>
      <w:proofErr w:type="gramStart"/>
      <w:r w:rsidRPr="002C1DA8">
        <w:rPr>
          <w:spacing w:val="-2"/>
          <w:lang w:eastAsia="ru-RU"/>
        </w:rPr>
        <w:t>разработки модели лабораторного обеспечения химической безопасности массовых международных событий</w:t>
      </w:r>
      <w:proofErr w:type="gramEnd"/>
      <w:r w:rsidRPr="002C1DA8">
        <w:rPr>
          <w:spacing w:val="-2"/>
          <w:lang w:eastAsia="ru-RU"/>
        </w:rPr>
        <w:t xml:space="preserve"> с позиций оценки риска здоровью участников и гостей данных меропри</w:t>
      </w:r>
      <w:r w:rsidRPr="002C1DA8">
        <w:rPr>
          <w:spacing w:val="-2"/>
          <w:lang w:eastAsia="ru-RU"/>
        </w:rPr>
        <w:t>я</w:t>
      </w:r>
      <w:r w:rsidRPr="002C1DA8">
        <w:rPr>
          <w:spacing w:val="-2"/>
          <w:lang w:eastAsia="ru-RU"/>
        </w:rPr>
        <w:t xml:space="preserve">тий на основе внедрения лабораторного контроля </w:t>
      </w:r>
      <w:proofErr w:type="spellStart"/>
      <w:r w:rsidRPr="002C1DA8">
        <w:rPr>
          <w:spacing w:val="-2"/>
          <w:lang w:eastAsia="ru-RU"/>
        </w:rPr>
        <w:t>биомаркеров</w:t>
      </w:r>
      <w:proofErr w:type="spellEnd"/>
      <w:r w:rsidRPr="002C1DA8">
        <w:rPr>
          <w:spacing w:val="-2"/>
          <w:lang w:eastAsia="ru-RU"/>
        </w:rPr>
        <w:t>. Определены основные принципы государственной пол</w:t>
      </w:r>
      <w:r w:rsidRPr="002C1DA8">
        <w:rPr>
          <w:spacing w:val="-2"/>
          <w:lang w:eastAsia="ru-RU"/>
        </w:rPr>
        <w:t>и</w:t>
      </w:r>
      <w:r w:rsidRPr="002C1DA8">
        <w:rPr>
          <w:spacing w:val="-2"/>
          <w:lang w:eastAsia="ru-RU"/>
        </w:rPr>
        <w:t>тики в сфере обеспечения гигиенической безопасности, причины формирования угроз и рисков здоровью населения</w:t>
      </w:r>
      <w:r w:rsidRPr="002C1DA8">
        <w:rPr>
          <w:spacing w:val="-2"/>
        </w:rPr>
        <w:t xml:space="preserve"> </w:t>
      </w:r>
      <w:r w:rsidRPr="002C1DA8">
        <w:rPr>
          <w:spacing w:val="-2"/>
          <w:lang w:eastAsia="ru-RU"/>
        </w:rPr>
        <w:t>во вр</w:t>
      </w:r>
      <w:r w:rsidRPr="002C1DA8">
        <w:rPr>
          <w:spacing w:val="-2"/>
          <w:lang w:eastAsia="ru-RU"/>
        </w:rPr>
        <w:t>е</w:t>
      </w:r>
      <w:r w:rsidRPr="002C1DA8">
        <w:rPr>
          <w:spacing w:val="-2"/>
          <w:lang w:eastAsia="ru-RU"/>
        </w:rPr>
        <w:t xml:space="preserve">мя проведения массовых международных мероприятий. В результате </w:t>
      </w:r>
      <w:r>
        <w:rPr>
          <w:spacing w:val="-2"/>
          <w:lang w:eastAsia="ru-RU"/>
        </w:rPr>
        <w:t>осуществления</w:t>
      </w:r>
      <w:r w:rsidRPr="002C1DA8">
        <w:rPr>
          <w:spacing w:val="-2"/>
          <w:lang w:eastAsia="ru-RU"/>
        </w:rPr>
        <w:t xml:space="preserve"> настоящего исследования выявлено целесообразное решение внедрения системы </w:t>
      </w:r>
      <w:proofErr w:type="spellStart"/>
      <w:r w:rsidRPr="002C1DA8">
        <w:rPr>
          <w:spacing w:val="-2"/>
          <w:lang w:eastAsia="ru-RU"/>
        </w:rPr>
        <w:t>биоконтроля</w:t>
      </w:r>
      <w:proofErr w:type="spellEnd"/>
      <w:r w:rsidRPr="002C1DA8">
        <w:rPr>
          <w:spacing w:val="-2"/>
          <w:lang w:eastAsia="ru-RU"/>
        </w:rPr>
        <w:t xml:space="preserve"> маркерных показателей воздействия тех или иных химических веществ на пе</w:t>
      </w:r>
      <w:r w:rsidRPr="002C1DA8">
        <w:rPr>
          <w:spacing w:val="-2"/>
          <w:lang w:eastAsia="ru-RU"/>
        </w:rPr>
        <w:t>р</w:t>
      </w:r>
      <w:r w:rsidRPr="002C1DA8">
        <w:rPr>
          <w:spacing w:val="-2"/>
          <w:lang w:eastAsia="ru-RU"/>
        </w:rPr>
        <w:t>сонал, задействованный при подготовке к проведению массовых международных мероприятий.</w:t>
      </w:r>
    </w:p>
    <w:p w:rsidR="00C92B98" w:rsidRPr="00643905" w:rsidRDefault="00C92B98" w:rsidP="00C92B98">
      <w:pPr>
        <w:pStyle w:val="a7"/>
        <w:rPr>
          <w:spacing w:val="0"/>
        </w:rPr>
      </w:pPr>
      <w:proofErr w:type="gramStart"/>
      <w:r w:rsidRPr="002C1DA8">
        <w:rPr>
          <w:b/>
          <w:spacing w:val="0"/>
          <w:lang w:eastAsia="ru-RU"/>
        </w:rPr>
        <w:t>Ключевые слова</w:t>
      </w:r>
      <w:r w:rsidRPr="002C1DA8">
        <w:rPr>
          <w:b/>
          <w:spacing w:val="0"/>
        </w:rPr>
        <w:t xml:space="preserve">: </w:t>
      </w:r>
      <w:r w:rsidRPr="002C1DA8">
        <w:rPr>
          <w:spacing w:val="0"/>
          <w:lang w:eastAsia="ru-RU"/>
        </w:rPr>
        <w:t>международное мероприятие, массовое мероприятие, гигиеническая безопасность, лабор</w:t>
      </w:r>
      <w:r w:rsidRPr="002C1DA8">
        <w:rPr>
          <w:spacing w:val="0"/>
          <w:lang w:eastAsia="ru-RU"/>
        </w:rPr>
        <w:t>а</w:t>
      </w:r>
      <w:r w:rsidRPr="002C1DA8">
        <w:rPr>
          <w:spacing w:val="0"/>
          <w:lang w:eastAsia="ru-RU"/>
        </w:rPr>
        <w:t>торное обеспечение, информационно-аналитическое обеспечение, санитарно-эпидемиологическое благополучие, гос</w:t>
      </w:r>
      <w:r w:rsidRPr="002C1DA8">
        <w:rPr>
          <w:spacing w:val="0"/>
          <w:lang w:eastAsia="ru-RU"/>
        </w:rPr>
        <w:t>у</w:t>
      </w:r>
      <w:r w:rsidRPr="002C1DA8">
        <w:rPr>
          <w:spacing w:val="0"/>
          <w:lang w:eastAsia="ru-RU"/>
        </w:rPr>
        <w:t>дарственное регулирование, безопасная среда обитания.</w:t>
      </w:r>
      <w:proofErr w:type="gramEnd"/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proofErr w:type="gramStart"/>
      <w:r>
        <w:t>МЕТОДИЧЕСКИЕ ПОДХОДЫ</w:t>
      </w:r>
      <w:proofErr w:type="gramEnd"/>
      <w:r>
        <w:t xml:space="preserve"> К </w:t>
      </w:r>
      <w:r w:rsidRPr="00AF6B93">
        <w:t>СРЕДНЕСРОЧНО</w:t>
      </w:r>
      <w:r>
        <w:t>МУ ПЛАНИРОВАНИЮ</w:t>
      </w:r>
      <w:r w:rsidRPr="00AF6B93">
        <w:t xml:space="preserve"> </w:t>
      </w:r>
      <w:r>
        <w:br/>
      </w:r>
      <w:r w:rsidRPr="00AF6B93">
        <w:t>И ОЦЕНК</w:t>
      </w:r>
      <w:r>
        <w:t>Е</w:t>
      </w:r>
      <w:r w:rsidRPr="00AF6B93">
        <w:t xml:space="preserve"> ЭФФЕКТИВНО</w:t>
      </w:r>
      <w:r>
        <w:t>С</w:t>
      </w:r>
      <w:r w:rsidRPr="00AF6B93">
        <w:t xml:space="preserve">ТИ МЕР ПО УПРАВЛЕНИЮ РИСКОМ </w:t>
      </w:r>
      <w:r>
        <w:br/>
      </w:r>
      <w:r w:rsidRPr="00AF6B93">
        <w:t>ДЛЯ ЗД</w:t>
      </w:r>
      <w:r w:rsidRPr="00AF6B93">
        <w:t>О</w:t>
      </w:r>
      <w:r w:rsidRPr="00AF6B93">
        <w:t>РОВЬЯ НАСЕЛЕНИЯ В МУНИЦИПАЛЬНОМ ОБРАЗОВАНИИ</w:t>
      </w:r>
      <w:r>
        <w:br/>
        <w:t xml:space="preserve"> (</w:t>
      </w:r>
      <w:r w:rsidRPr="00AF6B93">
        <w:t>НА ПРИМЕРЕ ПРОМЫ</w:t>
      </w:r>
      <w:r w:rsidRPr="00AF6B93">
        <w:t>Ш</w:t>
      </w:r>
      <w:r w:rsidRPr="00AF6B93">
        <w:t>ЛЕННО РАЗВИТОГО ГОРОДА</w:t>
      </w:r>
      <w:r>
        <w:t>)</w:t>
      </w:r>
    </w:p>
    <w:p w:rsidR="00C92B98" w:rsidRPr="00086182" w:rsidRDefault="00C92B98" w:rsidP="00C92B98">
      <w:pPr>
        <w:pStyle w:val="2"/>
        <w:rPr>
          <w:vertAlign w:val="superscript"/>
        </w:rPr>
      </w:pPr>
      <w:r w:rsidRPr="00AF6B93">
        <w:t>Ю.Я</w:t>
      </w:r>
      <w:r>
        <w:t>.</w:t>
      </w:r>
      <w:r w:rsidRPr="00AF6B93">
        <w:t xml:space="preserve"> Бармин</w:t>
      </w:r>
      <w:r>
        <w:rPr>
          <w:vertAlign w:val="superscript"/>
        </w:rPr>
        <w:t>1</w:t>
      </w:r>
      <w:r w:rsidRPr="00AF6B93">
        <w:t>, В.Б</w:t>
      </w:r>
      <w:r>
        <w:t>.</w:t>
      </w:r>
      <w:r w:rsidRPr="00AF6B93">
        <w:t xml:space="preserve"> Гурвич</w:t>
      </w:r>
      <w:r>
        <w:rPr>
          <w:vertAlign w:val="superscript"/>
        </w:rPr>
        <w:t>2</w:t>
      </w:r>
      <w:r w:rsidRPr="00AF6B93">
        <w:t>, С.В</w:t>
      </w:r>
      <w:r>
        <w:t>.</w:t>
      </w:r>
      <w:r w:rsidRPr="00AF6B93">
        <w:t xml:space="preserve"> Кузьмин</w:t>
      </w:r>
      <w:r>
        <w:rPr>
          <w:vertAlign w:val="superscript"/>
        </w:rPr>
        <w:t>3</w:t>
      </w:r>
      <w:r w:rsidRPr="00AF6B93">
        <w:t>,</w:t>
      </w:r>
      <w:r>
        <w:t xml:space="preserve"> О.В. Диконская</w:t>
      </w:r>
      <w:r>
        <w:rPr>
          <w:vertAlign w:val="superscript"/>
        </w:rPr>
        <w:t>4</w:t>
      </w:r>
      <w:r>
        <w:t>,</w:t>
      </w:r>
      <w:r w:rsidRPr="00AF6B93">
        <w:t xml:space="preserve"> О.Л. Малых</w:t>
      </w:r>
      <w:r>
        <w:rPr>
          <w:vertAlign w:val="superscript"/>
        </w:rPr>
        <w:t>4</w:t>
      </w:r>
      <w:r w:rsidRPr="00AF6B93">
        <w:t xml:space="preserve">, </w:t>
      </w:r>
      <w:r>
        <w:br/>
      </w:r>
      <w:r w:rsidRPr="00AF6B93">
        <w:t>Т.М. Цепилова</w:t>
      </w:r>
      <w:r>
        <w:rPr>
          <w:vertAlign w:val="superscript"/>
        </w:rPr>
        <w:t>2</w:t>
      </w:r>
      <w:r w:rsidRPr="00AF6B93">
        <w:t>, А.А. Шевчик</w:t>
      </w:r>
      <w:r>
        <w:rPr>
          <w:vertAlign w:val="superscript"/>
        </w:rPr>
        <w:t>2</w:t>
      </w:r>
      <w:r w:rsidRPr="00AF6B93">
        <w:t>, С.В. Ярушин</w:t>
      </w:r>
      <w:r>
        <w:rPr>
          <w:vertAlign w:val="superscript"/>
        </w:rPr>
        <w:t>2</w:t>
      </w:r>
    </w:p>
    <w:p w:rsidR="00C92B98" w:rsidRPr="00AF6B93" w:rsidRDefault="00C92B98" w:rsidP="00C92B98">
      <w:pPr>
        <w:pStyle w:val="3"/>
      </w:pPr>
      <w:proofErr w:type="gramStart"/>
      <w:r w:rsidRPr="002C6941">
        <w:rPr>
          <w:vertAlign w:val="superscript"/>
        </w:rPr>
        <w:t>1</w:t>
      </w:r>
      <w:r>
        <w:t>Территориальный отдел у</w:t>
      </w:r>
      <w:r w:rsidRPr="002C6941">
        <w:t>правлени</w:t>
      </w:r>
      <w:r>
        <w:t>я</w:t>
      </w:r>
      <w:r w:rsidRPr="003641B4">
        <w:t xml:space="preserve"> Федеральной службы по надзору в сфере защиты прав потребителей и</w:t>
      </w:r>
      <w:r>
        <w:t> </w:t>
      </w:r>
      <w:r w:rsidRPr="003641B4">
        <w:t>благополучия че</w:t>
      </w:r>
      <w:r>
        <w:t xml:space="preserve">ловека по Свердловской области, Россия, </w:t>
      </w:r>
      <w:r w:rsidRPr="003641B4">
        <w:t>622036, Нижний Тагил, ул.</w:t>
      </w:r>
      <w:r>
        <w:t xml:space="preserve"> </w:t>
      </w:r>
      <w:r w:rsidRPr="003641B4">
        <w:t>Октябрьской революции, 86</w:t>
      </w:r>
      <w:r>
        <w:br/>
      </w:r>
      <w:r w:rsidRPr="00AF6B93">
        <w:rPr>
          <w:vertAlign w:val="superscript"/>
        </w:rPr>
        <w:t>2</w:t>
      </w:r>
      <w:r w:rsidRPr="00AF6B93">
        <w:t>Екатеринбургский медицинский научный центр профилактики и охраны з</w:t>
      </w:r>
      <w:r>
        <w:t>доровья рабочих промпредприятий</w:t>
      </w:r>
      <w:r w:rsidRPr="00AF6B93">
        <w:t xml:space="preserve">, </w:t>
      </w:r>
      <w:r>
        <w:t xml:space="preserve">Россия, 620014, Екатеринбург, ул. Попова, </w:t>
      </w:r>
      <w:r w:rsidRPr="00096828">
        <w:t>30</w:t>
      </w:r>
      <w:r>
        <w:br/>
      </w:r>
      <w:r>
        <w:rPr>
          <w:vertAlign w:val="superscript"/>
        </w:rPr>
        <w:t>3</w:t>
      </w:r>
      <w:r w:rsidRPr="001C3548">
        <w:t>Федеральная служба по надзору в сфере защиты прав потребителей и благополучия человека</w:t>
      </w:r>
      <w:r>
        <w:t>, Россия, 127994, Москва, Вадковский переулок, 18</w:t>
      </w:r>
      <w:proofErr w:type="gramEnd"/>
      <w:r>
        <w:t>, стр. 5 и 7</w:t>
      </w:r>
      <w:r>
        <w:br/>
      </w:r>
      <w:r>
        <w:rPr>
          <w:vertAlign w:val="superscript"/>
        </w:rPr>
        <w:t>4</w:t>
      </w:r>
      <w:r w:rsidRPr="005D0AD1">
        <w:t>Управление Федеральной службы по надзору в сфере защиты прав потребителей и благополучия человека по Свердловской области</w:t>
      </w:r>
      <w:r>
        <w:t xml:space="preserve">, Россия, </w:t>
      </w:r>
      <w:r w:rsidRPr="00096828">
        <w:t>620078, Екатери</w:t>
      </w:r>
      <w:r w:rsidRPr="00096828">
        <w:t>н</w:t>
      </w:r>
      <w:r w:rsidRPr="00096828">
        <w:t>бург, пер. Отдельный, 3</w:t>
      </w:r>
    </w:p>
    <w:p w:rsidR="00C92B98" w:rsidRPr="00C92B98" w:rsidRDefault="00C92B98" w:rsidP="00C92B98">
      <w:pPr>
        <w:pStyle w:val="a6"/>
        <w:rPr>
          <w:color w:val="339966"/>
          <w:sz w:val="16"/>
          <w:szCs w:val="16"/>
        </w:rPr>
      </w:pPr>
    </w:p>
    <w:p w:rsidR="00C92B98" w:rsidRPr="00C92B98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  <w:color w:val="339966"/>
        </w:rPr>
      </w:pPr>
    </w:p>
    <w:p w:rsidR="00C92B98" w:rsidRDefault="00C92B98" w:rsidP="00C92B98">
      <w:pPr>
        <w:pStyle w:val="a7"/>
      </w:pPr>
      <w:r w:rsidRPr="00E1561E">
        <w:t>В Свердловской области создана и успешно реализуется система мер по управлению рисками для здоровья населения от влияния факторов среды обитания, уст</w:t>
      </w:r>
      <w:r w:rsidRPr="00E1561E">
        <w:t>а</w:t>
      </w:r>
      <w:r w:rsidRPr="00E1561E">
        <w:t>новленных на основе результатов социально-гигиенического мониторинга. Ежегодно на основе системного анализа и оценки риска обосновываются приоритетные задачи и</w:t>
      </w:r>
      <w:r>
        <w:t> </w:t>
      </w:r>
      <w:r w:rsidRPr="00E1561E">
        <w:t>меры для субъектов управления по обеспечению санитарно-эпидемиологического благополучия и управлению ри</w:t>
      </w:r>
      <w:r w:rsidRPr="00E1561E">
        <w:t>с</w:t>
      </w:r>
      <w:r w:rsidRPr="00E1561E">
        <w:t>ками для здоровья населения.</w:t>
      </w:r>
    </w:p>
    <w:p w:rsidR="00C92B98" w:rsidRPr="00E1561E" w:rsidRDefault="00C92B98" w:rsidP="00C92B98">
      <w:pPr>
        <w:pStyle w:val="a7"/>
        <w:rPr>
          <w:spacing w:val="0"/>
        </w:rPr>
      </w:pPr>
      <w:r w:rsidRPr="00E1561E">
        <w:rPr>
          <w:spacing w:val="0"/>
        </w:rPr>
        <w:t>Система управления риском для здоровья населения в муниципальных образованиях является ключевым комп</w:t>
      </w:r>
      <w:r w:rsidRPr="00E1561E">
        <w:rPr>
          <w:spacing w:val="0"/>
        </w:rPr>
        <w:t>о</w:t>
      </w:r>
      <w:r w:rsidRPr="00E1561E">
        <w:rPr>
          <w:spacing w:val="0"/>
        </w:rPr>
        <w:t>нентом единой региональной системы обеспечения санитарно-эпидемиологического благополучия и охраны здоровья населения с учетом характерных особенностей санитарно-эпидемиологической ситуации в муниципальном образов</w:t>
      </w:r>
      <w:r w:rsidRPr="00E1561E">
        <w:rPr>
          <w:spacing w:val="0"/>
        </w:rPr>
        <w:t>а</w:t>
      </w:r>
      <w:r w:rsidRPr="00E1561E">
        <w:rPr>
          <w:spacing w:val="0"/>
        </w:rPr>
        <w:t>нии. Создание и развитие такой системы управления основано на единстве целей, задач и показателей оценки де</w:t>
      </w:r>
      <w:r w:rsidRPr="00E1561E">
        <w:rPr>
          <w:spacing w:val="0"/>
        </w:rPr>
        <w:t>я</w:t>
      </w:r>
      <w:r w:rsidRPr="00E1561E">
        <w:rPr>
          <w:spacing w:val="0"/>
        </w:rPr>
        <w:t>тельности для всех субъектов управления риском, а также на использовании единой информационно-аналитической базы социально-гигиенического мониторинга, обеспечивающей адекватное управление ри</w:t>
      </w:r>
      <w:r w:rsidRPr="00E1561E">
        <w:rPr>
          <w:spacing w:val="0"/>
        </w:rPr>
        <w:t>с</w:t>
      </w:r>
      <w:r w:rsidRPr="00E1561E">
        <w:rPr>
          <w:spacing w:val="0"/>
        </w:rPr>
        <w:t xml:space="preserve">ками и угрозами для здоровья населения. В статье представлены </w:t>
      </w:r>
      <w:proofErr w:type="gramStart"/>
      <w:r w:rsidRPr="00E1561E">
        <w:rPr>
          <w:spacing w:val="0"/>
        </w:rPr>
        <w:t>методические подходы</w:t>
      </w:r>
      <w:proofErr w:type="gramEnd"/>
      <w:r w:rsidRPr="00E1561E">
        <w:rPr>
          <w:spacing w:val="0"/>
        </w:rPr>
        <w:t>, основные результаты и опыт научно-практической раб</w:t>
      </w:r>
      <w:r w:rsidRPr="00E1561E">
        <w:rPr>
          <w:spacing w:val="0"/>
        </w:rPr>
        <w:t>о</w:t>
      </w:r>
      <w:r w:rsidRPr="00E1561E">
        <w:rPr>
          <w:spacing w:val="0"/>
        </w:rPr>
        <w:t>ты по среднесрочному планированию и оценке эффективности мер по управлению риском для здоровья населения промышленно развитого города Свердловской области. Даны рекомендации и сформулир</w:t>
      </w:r>
      <w:r w:rsidRPr="00E1561E">
        <w:rPr>
          <w:spacing w:val="0"/>
        </w:rPr>
        <w:t>о</w:t>
      </w:r>
      <w:r w:rsidRPr="00E1561E">
        <w:rPr>
          <w:spacing w:val="0"/>
        </w:rPr>
        <w:t>ваны задачи, решение которых необходимо для поддержки создания и развития муниципальных систем управления риском для здоровья населения. Показана экономическая и социальная эффективность реализации задач управления и перспективы внедрения экономических инструментов управления риском для здор</w:t>
      </w:r>
      <w:r w:rsidRPr="00E1561E">
        <w:rPr>
          <w:spacing w:val="0"/>
        </w:rPr>
        <w:t>о</w:t>
      </w:r>
      <w:r w:rsidRPr="00E1561E">
        <w:rPr>
          <w:spacing w:val="0"/>
        </w:rPr>
        <w:t>вья населения по обоснованию и выбору мер, направленных на достижение приемлемого риска для здоровья населения в результате воздействия факторов среды обит</w:t>
      </w:r>
      <w:r w:rsidRPr="00E1561E">
        <w:rPr>
          <w:spacing w:val="0"/>
        </w:rPr>
        <w:t>а</w:t>
      </w:r>
      <w:r w:rsidRPr="00E1561E">
        <w:rPr>
          <w:spacing w:val="0"/>
        </w:rPr>
        <w:t>ния.</w:t>
      </w:r>
    </w:p>
    <w:p w:rsidR="00C92B98" w:rsidRDefault="00C92B98" w:rsidP="00C92B98">
      <w:pPr>
        <w:pStyle w:val="a7"/>
      </w:pPr>
      <w:r w:rsidRPr="00E1561E">
        <w:rPr>
          <w:b/>
        </w:rPr>
        <w:t>Ключевые слова:</w:t>
      </w:r>
      <w:r>
        <w:t xml:space="preserve"> </w:t>
      </w:r>
      <w:r w:rsidRPr="00FB6EC9">
        <w:t>управление риском для здоровья населения, муниципальное образование, планирование, оце</w:t>
      </w:r>
      <w:r w:rsidRPr="00FB6EC9">
        <w:t>н</w:t>
      </w:r>
      <w:r w:rsidRPr="00FB6EC9">
        <w:t>ка эффективности</w:t>
      </w:r>
      <w:r>
        <w:t>, эпидемиологическое благополучие, социально-гигиенический мониторинг, охрана здоровья, Свердловская область</w:t>
      </w:r>
      <w:r w:rsidRPr="00FB6EC9">
        <w:t>.</w:t>
      </w:r>
    </w:p>
    <w:p w:rsidR="00C92B98" w:rsidRDefault="00C92B98" w:rsidP="00C92B98">
      <w:pPr>
        <w:pStyle w:val="1"/>
        <w:spacing w:line="281" w:lineRule="auto"/>
      </w:pPr>
    </w:p>
    <w:p w:rsidR="00C92B98" w:rsidRDefault="00C92B98" w:rsidP="00C92B98">
      <w:pPr>
        <w:pStyle w:val="1"/>
        <w:spacing w:line="281" w:lineRule="auto"/>
      </w:pPr>
      <w:r>
        <w:t xml:space="preserve">ГИГИЕНИЧЕСКАЯ ОЦЕНКА РИСКА ЗДОРОВЬЮ НАСЕЛЕНИЯ </w:t>
      </w:r>
      <w:r>
        <w:br/>
        <w:t xml:space="preserve">ПРИ КОМБИНИРОВАННОМ ПЕРОРАЛЬНОМ ПОСТУПЛЕНИИ </w:t>
      </w:r>
      <w:r>
        <w:br/>
        <w:t>ТЯЖЕЛЫХ МЕТАЛЛОВ</w:t>
      </w:r>
    </w:p>
    <w:p w:rsidR="00C92B98" w:rsidRDefault="00C92B98" w:rsidP="00C92B98">
      <w:pPr>
        <w:pStyle w:val="2"/>
        <w:spacing w:before="120"/>
      </w:pPr>
      <w:r>
        <w:t>В.М. Боев, Е.А. Кряжева, Д.Н. Бегун, Е.Л. Борщук, Д.А. Кряжев</w:t>
      </w:r>
    </w:p>
    <w:p w:rsidR="00C92B98" w:rsidRPr="008D3BDD" w:rsidRDefault="00C92B98" w:rsidP="00C92B98">
      <w:pPr>
        <w:pStyle w:val="3"/>
        <w:spacing w:before="100"/>
        <w:rPr>
          <w:spacing w:val="-4"/>
        </w:rPr>
      </w:pPr>
      <w:r>
        <w:t>Оренбургский государственный медицинский университет, Россия, 460000, г. Оренбург, ул. Советская, 6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  <w:spacing w:line="230" w:lineRule="auto"/>
      </w:pPr>
      <w:r>
        <w:t>Проблема комбинированного перорального поступления тяжелых металлов с питьевой водой и пищевыми продуктами в организм человека является актуальной. Это связано с контаминацией продуктов, с большой вер</w:t>
      </w:r>
      <w:r>
        <w:t>о</w:t>
      </w:r>
      <w:r>
        <w:t>ятностью миграции металлов в воду и растения из почвы, атмосферного воздуха и т.п. Целью научного исследов</w:t>
      </w:r>
      <w:r>
        <w:t>а</w:t>
      </w:r>
      <w:r>
        <w:t>ния явилась гигиеническая оценка комбинированного перорального поступления тяжелых металлов с питьевой в</w:t>
      </w:r>
      <w:r>
        <w:t>о</w:t>
      </w:r>
      <w:r>
        <w:t>дой и продуктами питания с последующей оценкой риска для здоровья населения. В работе проанализированы мн</w:t>
      </w:r>
      <w:r>
        <w:t>о</w:t>
      </w:r>
      <w:r>
        <w:t>голетние данные о структуре, объеме потребления продуктов и проведена оценка экспозиции населения при комбинированном пероральном поступлении тяжелых металлов (ртуть, кадмий, мышьяк, свинец), содержащихся в пить</w:t>
      </w:r>
      <w:r>
        <w:t>е</w:t>
      </w:r>
      <w:r>
        <w:t xml:space="preserve">вой воде и продуктах питания. Источник данных </w:t>
      </w:r>
      <w:r>
        <w:rPr>
          <w:rFonts w:eastAsia="F1"/>
          <w:bCs/>
          <w:color w:val="222122"/>
        </w:rPr>
        <w:t>–</w:t>
      </w:r>
      <w:r>
        <w:t xml:space="preserve"> региональный информационный фонд социально-гигиенического мониторинга, Территориальный орган Федеральной службы государственной статистики. Ос</w:t>
      </w:r>
      <w:r>
        <w:t>у</w:t>
      </w:r>
      <w:r>
        <w:t xml:space="preserve">ществлен анализ </w:t>
      </w:r>
      <w:proofErr w:type="gramStart"/>
      <w:r>
        <w:t>продуктов</w:t>
      </w:r>
      <w:proofErr w:type="gramEnd"/>
      <w:r>
        <w:t xml:space="preserve"> как регионального происхождения, так и привозных. Установлено, что население обл</w:t>
      </w:r>
      <w:r>
        <w:t>а</w:t>
      </w:r>
      <w:r>
        <w:t>сти потребляет на 93 кг продуктов питания (на одного человека) больше, чем в среднем по России. Рассчитанные концентрации веще</w:t>
      </w:r>
      <w:proofErr w:type="gramStart"/>
      <w:r>
        <w:t>ств в пр</w:t>
      </w:r>
      <w:proofErr w:type="gramEnd"/>
      <w:r>
        <w:t>одуктах питания и в питьевой воде соответствуют гигиеническим требованиям. Пе</w:t>
      </w:r>
      <w:r>
        <w:t>р</w:t>
      </w:r>
      <w:r>
        <w:t xml:space="preserve">вое ранговое место по вкладу в общее значение экспозиции свинцом, кадмием и мышьяком </w:t>
      </w:r>
      <w:r>
        <w:lastRenderedPageBreak/>
        <w:t>занимают молочные пр</w:t>
      </w:r>
      <w:r>
        <w:t>о</w:t>
      </w:r>
      <w:r>
        <w:t>дукты. Второе и третье места занимают овощи и бахчевые и хлебные продукты соответственно. Первое ранг</w:t>
      </w:r>
      <w:r>
        <w:t>о</w:t>
      </w:r>
      <w:r>
        <w:t xml:space="preserve">вое место по вкладу в общее значение экспозиции ртутью занимают овощи и бахчевые, второе </w:t>
      </w:r>
      <w:r>
        <w:rPr>
          <w:rFonts w:eastAsia="F1"/>
          <w:bCs/>
          <w:color w:val="222122"/>
        </w:rPr>
        <w:t xml:space="preserve">– </w:t>
      </w:r>
      <w:r>
        <w:t xml:space="preserve">хлебные продукты, третье </w:t>
      </w:r>
      <w:r>
        <w:rPr>
          <w:rFonts w:eastAsia="F1"/>
          <w:bCs/>
          <w:color w:val="222122"/>
        </w:rPr>
        <w:t xml:space="preserve">– </w:t>
      </w:r>
      <w:r>
        <w:t xml:space="preserve">молочные продукты. Оценка </w:t>
      </w:r>
      <w:proofErr w:type="spellStart"/>
      <w:r>
        <w:t>неканцерогенного</w:t>
      </w:r>
      <w:proofErr w:type="spellEnd"/>
      <w:r>
        <w:t xml:space="preserve"> риска показала, что коэффициенты опасности от соде</w:t>
      </w:r>
      <w:r>
        <w:t>р</w:t>
      </w:r>
      <w:r>
        <w:t>жания тяжелых металлов в продуктах питания и питьевой воде в пределах приемлемого риска. Общий канцероге</w:t>
      </w:r>
      <w:r>
        <w:t>н</w:t>
      </w:r>
      <w:r>
        <w:t>ный риск (TCR) находится на неприемлемом уровне для населения (</w:t>
      </w:r>
      <w:proofErr w:type="spellStart"/>
      <w:r>
        <w:t>1,5Е</w:t>
      </w:r>
      <w:proofErr w:type="spellEnd"/>
      <w:r>
        <w:t>-03).</w:t>
      </w:r>
      <w:r>
        <w:rPr>
          <w:sz w:val="20"/>
          <w:szCs w:val="22"/>
        </w:rPr>
        <w:t xml:space="preserve"> </w:t>
      </w:r>
      <w:r>
        <w:t>Число дополнительных случаев онкологических заболев</w:t>
      </w:r>
      <w:r>
        <w:t>а</w:t>
      </w:r>
      <w:r>
        <w:t>ний в регионе при наихудшем сценарии может достигать 557 случаев (в течение 70 лет).</w:t>
      </w:r>
    </w:p>
    <w:p w:rsidR="00C92B98" w:rsidRDefault="00C92B98" w:rsidP="00C92B98">
      <w:pPr>
        <w:pStyle w:val="a7"/>
        <w:spacing w:line="230" w:lineRule="auto"/>
      </w:pPr>
      <w:proofErr w:type="gramStart"/>
      <w:r>
        <w:rPr>
          <w:b/>
        </w:rPr>
        <w:t xml:space="preserve">Ключевые слова: </w:t>
      </w:r>
      <w:r>
        <w:t xml:space="preserve">продукты питания, питьевая вода, тяжелые металлы, оценка риска здоровью, </w:t>
      </w:r>
      <w:proofErr w:type="spellStart"/>
      <w:r>
        <w:t>неканцер</w:t>
      </w:r>
      <w:r>
        <w:t>о</w:t>
      </w:r>
      <w:r>
        <w:t>генный</w:t>
      </w:r>
      <w:proofErr w:type="spellEnd"/>
      <w:r>
        <w:t xml:space="preserve"> риск, онкологические заболевания, комбинированное действие, пероральное поступление.</w:t>
      </w:r>
      <w:proofErr w:type="gramEnd"/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Pr="00673D6F" w:rsidRDefault="00C92B98" w:rsidP="00C92B98">
      <w:pPr>
        <w:pStyle w:val="1"/>
      </w:pPr>
      <w:r w:rsidRPr="00673D6F">
        <w:t>КАЧЕСТВО ПИТЬЕВОЙ ВОДЫ</w:t>
      </w:r>
      <w:r>
        <w:t xml:space="preserve">: </w:t>
      </w:r>
      <w:r w:rsidRPr="00673D6F">
        <w:t xml:space="preserve">ФАКТОРЫ РИСКА ДЛЯ ЗДОРОВЬЯ </w:t>
      </w:r>
      <w:r>
        <w:br/>
      </w:r>
      <w:r w:rsidRPr="00673D6F">
        <w:t>НАСЕЛЕНИЯ И ЭФФЕКТИВНОСТЬ КОНТРОЛЬНО-НАДЗОРНОЙ</w:t>
      </w:r>
      <w:r>
        <w:br/>
      </w:r>
      <w:r w:rsidRPr="00673D6F">
        <w:t>ДЕЯТЕЛ</w:t>
      </w:r>
      <w:r w:rsidRPr="00673D6F">
        <w:t>Ь</w:t>
      </w:r>
      <w:r w:rsidRPr="00673D6F">
        <w:t>НОСТИ РОСПОТРЕБНАДЗОРА</w:t>
      </w:r>
    </w:p>
    <w:p w:rsidR="00C92B98" w:rsidRPr="00673D6F" w:rsidRDefault="00C92B98" w:rsidP="00C92B98">
      <w:pPr>
        <w:pStyle w:val="2"/>
        <w:rPr>
          <w:vertAlign w:val="superscript"/>
        </w:rPr>
      </w:pPr>
      <w:r w:rsidRPr="00673D6F">
        <w:t>Н.В. Зайцева</w:t>
      </w:r>
      <w:r w:rsidRPr="00673D6F">
        <w:rPr>
          <w:vertAlign w:val="superscript"/>
        </w:rPr>
        <w:t>1,2,3</w:t>
      </w:r>
      <w:r w:rsidRPr="00673D6F">
        <w:t>, А.С. Сбоев</w:t>
      </w:r>
      <w:r w:rsidRPr="00673D6F">
        <w:rPr>
          <w:vertAlign w:val="superscript"/>
        </w:rPr>
        <w:t>4</w:t>
      </w:r>
      <w:r w:rsidRPr="00673D6F">
        <w:t>,</w:t>
      </w:r>
      <w:r w:rsidRPr="00673D6F">
        <w:rPr>
          <w:vertAlign w:val="superscript"/>
        </w:rPr>
        <w:t xml:space="preserve"> </w:t>
      </w:r>
      <w:r w:rsidRPr="00673D6F">
        <w:t>С.В. Клейн</w:t>
      </w:r>
      <w:r w:rsidRPr="00673D6F">
        <w:rPr>
          <w:vertAlign w:val="superscript"/>
        </w:rPr>
        <w:t>1,2</w:t>
      </w:r>
      <w:r w:rsidRPr="00673D6F">
        <w:t>, С.А. Вековшинина</w:t>
      </w:r>
      <w:r w:rsidRPr="00673D6F">
        <w:rPr>
          <w:vertAlign w:val="superscript"/>
        </w:rPr>
        <w:t>1</w:t>
      </w:r>
    </w:p>
    <w:p w:rsidR="00C92B98" w:rsidRPr="00673D6F" w:rsidRDefault="00C92B98" w:rsidP="00C92B98">
      <w:pPr>
        <w:pStyle w:val="3"/>
      </w:pPr>
      <w:proofErr w:type="gramStart"/>
      <w:r w:rsidRPr="00673D6F">
        <w:rPr>
          <w:vertAlign w:val="superscript"/>
        </w:rPr>
        <w:t>1</w:t>
      </w:r>
      <w:r w:rsidRPr="00673D6F">
        <w:t>Федеральный научный центр медико-профилактических технологий управления рисками здоровью населения, Россия, 614045, г. Пермь, ул. Монасты</w:t>
      </w:r>
      <w:r w:rsidRPr="00673D6F">
        <w:t>р</w:t>
      </w:r>
      <w:r w:rsidRPr="00673D6F">
        <w:t>ская, 82</w:t>
      </w:r>
      <w:r>
        <w:br/>
      </w:r>
      <w:r w:rsidRPr="00673D6F">
        <w:rPr>
          <w:vertAlign w:val="superscript"/>
        </w:rPr>
        <w:t>2</w:t>
      </w:r>
      <w:r w:rsidRPr="00673D6F">
        <w:t xml:space="preserve"> Пермский государственный национальный исследовательский университет, Россия, 614990, г. Пермь, ул.</w:t>
      </w:r>
      <w:r>
        <w:t> </w:t>
      </w:r>
      <w:r w:rsidRPr="00673D6F">
        <w:t>Букирева, 15</w:t>
      </w:r>
      <w:r>
        <w:br/>
      </w:r>
      <w:r w:rsidRPr="00673D6F">
        <w:rPr>
          <w:vertAlign w:val="superscript"/>
        </w:rPr>
        <w:t>3</w:t>
      </w:r>
      <w:r w:rsidRPr="00673D6F">
        <w:t xml:space="preserve"> </w:t>
      </w:r>
      <w:r w:rsidRPr="006A1C4D">
        <w:t>Пермский государственный медицинский университет имени академика Е.А. Вагнера</w:t>
      </w:r>
      <w:r w:rsidRPr="00673D6F">
        <w:t>, Россия, 614000, г.</w:t>
      </w:r>
      <w:r>
        <w:t> </w:t>
      </w:r>
      <w:r w:rsidRPr="00673D6F">
        <w:t>Пермь, ул. Петропавловская, 26</w:t>
      </w:r>
      <w:r>
        <w:br/>
      </w:r>
      <w:r w:rsidRPr="00673D6F">
        <w:rPr>
          <w:vertAlign w:val="superscript"/>
        </w:rPr>
        <w:t>4</w:t>
      </w:r>
      <w:r w:rsidRPr="00673D6F">
        <w:t>Информационно-методический центр</w:t>
      </w:r>
      <w:r>
        <w:t>,</w:t>
      </w:r>
      <w:r w:rsidRPr="00673D6F">
        <w:t xml:space="preserve"> Россия, 117105, г. Москва, Варша</w:t>
      </w:r>
      <w:r w:rsidRPr="00673D6F">
        <w:t>в</w:t>
      </w:r>
      <w:r w:rsidRPr="00673D6F">
        <w:t>ское шоссе, 19А</w:t>
      </w:r>
      <w:proofErr w:type="gramEnd"/>
    </w:p>
    <w:p w:rsidR="00C92B98" w:rsidRPr="008D3BDD" w:rsidRDefault="00C92B98" w:rsidP="00C92B98">
      <w:pPr>
        <w:pStyle w:val="a6"/>
        <w:rPr>
          <w:sz w:val="16"/>
          <w:szCs w:val="16"/>
        </w:rPr>
      </w:pPr>
    </w:p>
    <w:p w:rsidR="00C92B98" w:rsidRPr="008D3BDD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  <w:spacing w:line="245" w:lineRule="auto"/>
      </w:pPr>
      <w:r>
        <w:t>Рассматриваются</w:t>
      </w:r>
      <w:r w:rsidRPr="00673D6F">
        <w:t xml:space="preserve"> проблем</w:t>
      </w:r>
      <w:r>
        <w:t>ы</w:t>
      </w:r>
      <w:r w:rsidRPr="00673D6F">
        <w:t xml:space="preserve"> качества питьевой воды централизованных систем водоснабжения, выдел</w:t>
      </w:r>
      <w:r>
        <w:t>яются</w:t>
      </w:r>
      <w:r w:rsidRPr="00673D6F">
        <w:t xml:space="preserve"> приоритетны</w:t>
      </w:r>
      <w:r>
        <w:t>е</w:t>
      </w:r>
      <w:r w:rsidRPr="00673D6F">
        <w:t xml:space="preserve"> фактор</w:t>
      </w:r>
      <w:r>
        <w:t>ы</w:t>
      </w:r>
      <w:r w:rsidRPr="00673D6F">
        <w:t xml:space="preserve"> риска для здоровья населения и оценк</w:t>
      </w:r>
      <w:r>
        <w:t>и</w:t>
      </w:r>
      <w:r w:rsidRPr="00673D6F">
        <w:t xml:space="preserve"> эффективности контрольно-надзорной деятельн</w:t>
      </w:r>
      <w:r w:rsidRPr="00673D6F">
        <w:t>о</w:t>
      </w:r>
      <w:r w:rsidRPr="00673D6F">
        <w:t xml:space="preserve">сти </w:t>
      </w:r>
      <w:proofErr w:type="spellStart"/>
      <w:r w:rsidRPr="00673D6F">
        <w:t>Роспотребнадзора</w:t>
      </w:r>
      <w:proofErr w:type="spellEnd"/>
      <w:r w:rsidRPr="00673D6F">
        <w:t xml:space="preserve"> в сфере питьевого водоснабжения населения Российской Федерации.</w:t>
      </w:r>
    </w:p>
    <w:p w:rsidR="00C92B98" w:rsidRDefault="00C92B98" w:rsidP="00C92B98">
      <w:pPr>
        <w:pStyle w:val="a7"/>
        <w:spacing w:line="245" w:lineRule="auto"/>
      </w:pPr>
      <w:r w:rsidRPr="00673D6F">
        <w:t>Установлено, что в рамках социально-гигиенического мониторинга на территориях субъектов РФ осущест</w:t>
      </w:r>
      <w:r w:rsidRPr="00673D6F">
        <w:t>в</w:t>
      </w:r>
      <w:r w:rsidRPr="00673D6F">
        <w:t>ляетс</w:t>
      </w:r>
      <w:r>
        <w:t>я контроль в основном</w:t>
      </w:r>
      <w:r w:rsidRPr="00673D6F">
        <w:t xml:space="preserve"> за содержанием в питьевой воде веществ 3</w:t>
      </w:r>
      <w:r>
        <w:t>-го</w:t>
      </w:r>
      <w:r w:rsidRPr="00673D6F">
        <w:t xml:space="preserve"> и 4</w:t>
      </w:r>
      <w:r>
        <w:t>-го</w:t>
      </w:r>
      <w:r w:rsidRPr="00673D6F">
        <w:t xml:space="preserve"> класса опасности, в то время как за содержанием в питьевой воде веществ 1</w:t>
      </w:r>
      <w:r>
        <w:t>-го</w:t>
      </w:r>
      <w:r w:rsidRPr="00673D6F">
        <w:t xml:space="preserve"> класса опасности наблюдают только в отдельных регионах РФ. Среди веществ 1</w:t>
      </w:r>
      <w:r>
        <w:t>-го</w:t>
      </w:r>
      <w:r w:rsidRPr="00673D6F">
        <w:t xml:space="preserve"> класса опасности наиболее высокая доля проб с превышениями гигиенических нормативов наблюдается в отношении хлороформа, а также </w:t>
      </w:r>
      <w:proofErr w:type="spellStart"/>
      <w:r w:rsidRPr="00673D6F">
        <w:t>бромдихлорметана</w:t>
      </w:r>
      <w:proofErr w:type="spellEnd"/>
      <w:r w:rsidRPr="00673D6F">
        <w:t xml:space="preserve">, </w:t>
      </w:r>
      <w:proofErr w:type="spellStart"/>
      <w:r w:rsidRPr="00673D6F">
        <w:t>трихлорэтилена</w:t>
      </w:r>
      <w:proofErr w:type="spellEnd"/>
      <w:r w:rsidRPr="00673D6F">
        <w:t xml:space="preserve">, 1,2-дихлорэтана, </w:t>
      </w:r>
      <w:proofErr w:type="spellStart"/>
      <w:r w:rsidRPr="00673D6F">
        <w:t>дихлорм</w:t>
      </w:r>
      <w:r w:rsidRPr="00673D6F">
        <w:t>е</w:t>
      </w:r>
      <w:r w:rsidRPr="00673D6F">
        <w:t>тана</w:t>
      </w:r>
      <w:proofErr w:type="spellEnd"/>
      <w:r w:rsidRPr="00673D6F">
        <w:t xml:space="preserve">, </w:t>
      </w:r>
      <w:proofErr w:type="spellStart"/>
      <w:r w:rsidRPr="00673D6F">
        <w:t>тетрахлорметана</w:t>
      </w:r>
      <w:proofErr w:type="spellEnd"/>
      <w:r w:rsidRPr="00673D6F">
        <w:t xml:space="preserve">, </w:t>
      </w:r>
      <w:proofErr w:type="spellStart"/>
      <w:r w:rsidRPr="00673D6F">
        <w:t>тетрахлорэтилена</w:t>
      </w:r>
      <w:proofErr w:type="spellEnd"/>
      <w:r w:rsidRPr="00673D6F">
        <w:t xml:space="preserve"> и мышьяка.</w:t>
      </w:r>
    </w:p>
    <w:p w:rsidR="00C92B98" w:rsidRPr="00703D4E" w:rsidRDefault="00C92B98" w:rsidP="00C92B98">
      <w:pPr>
        <w:pStyle w:val="a7"/>
        <w:spacing w:line="245" w:lineRule="auto"/>
        <w:rPr>
          <w:spacing w:val="-2"/>
        </w:rPr>
      </w:pPr>
      <w:r w:rsidRPr="00703D4E">
        <w:rPr>
          <w:spacing w:val="-2"/>
        </w:rPr>
        <w:t>Приоритетными факторами риска, вносящими наибольший вклад в формирование дополнительных случаев заболеваемости, ассоциированной с неудовлетворительным качеством воды системы централизованного хозяйс</w:t>
      </w:r>
      <w:r w:rsidRPr="00703D4E">
        <w:rPr>
          <w:spacing w:val="-2"/>
        </w:rPr>
        <w:t>т</w:t>
      </w:r>
      <w:r w:rsidRPr="00703D4E">
        <w:rPr>
          <w:spacing w:val="-2"/>
        </w:rPr>
        <w:t>венно-питьевого водоснабжения, являются: хлор и хлорорганические соединения, аммиак и содержащие аммоний-ион химические вещества, соединения железа, марганца, мышьяка, никеля, меди, а также микробиологическое загрязнение в</w:t>
      </w:r>
      <w:r w:rsidRPr="00703D4E">
        <w:rPr>
          <w:spacing w:val="-2"/>
        </w:rPr>
        <w:t>о</w:t>
      </w:r>
      <w:r w:rsidRPr="00703D4E">
        <w:rPr>
          <w:spacing w:val="-2"/>
        </w:rPr>
        <w:t>ды.</w:t>
      </w:r>
    </w:p>
    <w:p w:rsidR="00C92B98" w:rsidRDefault="00C92B98" w:rsidP="00C92B98">
      <w:pPr>
        <w:pStyle w:val="a7"/>
        <w:spacing w:line="245" w:lineRule="auto"/>
      </w:pPr>
      <w:r w:rsidRPr="00673D6F">
        <w:t xml:space="preserve">В среднем по РФ эффективность деятельности службы по критерию предотвращенных потерь </w:t>
      </w:r>
      <w:r>
        <w:t>валового р</w:t>
      </w:r>
      <w:r>
        <w:t>е</w:t>
      </w:r>
      <w:r>
        <w:t>гионального продукта</w:t>
      </w:r>
      <w:r w:rsidRPr="00673D6F">
        <w:t xml:space="preserve">, связанных с качеством </w:t>
      </w:r>
      <w:r w:rsidRPr="009F559A">
        <w:t>питьевой воды, в 2018 г</w:t>
      </w:r>
      <w:r>
        <w:t>.</w:t>
      </w:r>
      <w:r w:rsidRPr="009F559A">
        <w:t xml:space="preserve"> составила 58,47 руб. на </w:t>
      </w:r>
      <w:r>
        <w:t>один</w:t>
      </w:r>
      <w:r w:rsidRPr="009F559A">
        <w:t xml:space="preserve"> руб</w:t>
      </w:r>
      <w:r>
        <w:t>ль</w:t>
      </w:r>
      <w:r w:rsidRPr="009F559A">
        <w:t xml:space="preserve"> затрат. Самые высокие значения по данному показателю характерны для третьего кластера</w:t>
      </w:r>
      <w:r>
        <w:t xml:space="preserve"> (</w:t>
      </w:r>
      <w:r w:rsidRPr="009F559A">
        <w:t xml:space="preserve">60,62 руб. на </w:t>
      </w:r>
      <w:r>
        <w:t>один</w:t>
      </w:r>
      <w:r w:rsidRPr="009F559A">
        <w:t xml:space="preserve"> руб</w:t>
      </w:r>
      <w:r>
        <w:t>ль</w:t>
      </w:r>
      <w:r w:rsidRPr="009F559A">
        <w:t xml:space="preserve"> з</w:t>
      </w:r>
      <w:r w:rsidRPr="009F559A">
        <w:t>а</w:t>
      </w:r>
      <w:r w:rsidRPr="009F559A">
        <w:t>трат</w:t>
      </w:r>
      <w:r>
        <w:t>),</w:t>
      </w:r>
      <w:r w:rsidRPr="009F559A">
        <w:t xml:space="preserve"> самые низкие – для первого</w:t>
      </w:r>
      <w:r>
        <w:t xml:space="preserve"> (</w:t>
      </w:r>
      <w:r w:rsidRPr="009F559A">
        <w:t xml:space="preserve">40,71 руб. на </w:t>
      </w:r>
      <w:r>
        <w:t>один</w:t>
      </w:r>
      <w:r w:rsidRPr="009F559A">
        <w:t xml:space="preserve"> руб</w:t>
      </w:r>
      <w:r>
        <w:t>ль</w:t>
      </w:r>
      <w:r w:rsidRPr="009F559A">
        <w:t xml:space="preserve"> затрат</w:t>
      </w:r>
      <w:r>
        <w:t>).</w:t>
      </w:r>
    </w:p>
    <w:p w:rsidR="00C92B98" w:rsidRPr="00703D4E" w:rsidRDefault="00C92B98" w:rsidP="00C92B98">
      <w:pPr>
        <w:pStyle w:val="a7"/>
        <w:spacing w:line="245" w:lineRule="auto"/>
        <w:rPr>
          <w:spacing w:val="0"/>
        </w:rPr>
      </w:pPr>
      <w:r w:rsidRPr="00703D4E">
        <w:rPr>
          <w:spacing w:val="0"/>
        </w:rPr>
        <w:t xml:space="preserve">С учетом региональных особенностей и результатов </w:t>
      </w:r>
      <w:proofErr w:type="spellStart"/>
      <w:r w:rsidRPr="00703D4E">
        <w:rPr>
          <w:spacing w:val="0"/>
        </w:rPr>
        <w:t>типологизации</w:t>
      </w:r>
      <w:proofErr w:type="spellEnd"/>
      <w:r w:rsidRPr="00703D4E">
        <w:rPr>
          <w:spacing w:val="0"/>
        </w:rPr>
        <w:t xml:space="preserve"> территорий в регионах требуется разр</w:t>
      </w:r>
      <w:r w:rsidRPr="00703D4E">
        <w:rPr>
          <w:spacing w:val="0"/>
        </w:rPr>
        <w:t>а</w:t>
      </w:r>
      <w:r w:rsidRPr="00703D4E">
        <w:rPr>
          <w:spacing w:val="0"/>
        </w:rPr>
        <w:t>ботка региональных планов действий, направленных на сохранение уже достигнутых уровней обеспеченности насел</w:t>
      </w:r>
      <w:r w:rsidRPr="00703D4E">
        <w:rPr>
          <w:spacing w:val="0"/>
        </w:rPr>
        <w:t>е</w:t>
      </w:r>
      <w:r w:rsidRPr="00703D4E">
        <w:rPr>
          <w:spacing w:val="0"/>
        </w:rPr>
        <w:t xml:space="preserve">ния качественной питьевой водой, совершенствование механизмов контрольно-надзорной деятельности с широким применением </w:t>
      </w:r>
      <w:proofErr w:type="gramStart"/>
      <w:r w:rsidRPr="00703D4E">
        <w:rPr>
          <w:spacing w:val="0"/>
        </w:rPr>
        <w:t>риск</w:t>
      </w:r>
      <w:r>
        <w:rPr>
          <w:spacing w:val="0"/>
        </w:rPr>
        <w:t>-</w:t>
      </w:r>
      <w:r w:rsidRPr="00703D4E">
        <w:rPr>
          <w:spacing w:val="0"/>
        </w:rPr>
        <w:t>ориентированного</w:t>
      </w:r>
      <w:proofErr w:type="gramEnd"/>
      <w:r w:rsidRPr="00703D4E">
        <w:rPr>
          <w:spacing w:val="0"/>
        </w:rPr>
        <w:t xml:space="preserve"> подхода, ориентацию на достижение целевых показателей национальных прое</w:t>
      </w:r>
      <w:r w:rsidRPr="00703D4E">
        <w:rPr>
          <w:spacing w:val="0"/>
        </w:rPr>
        <w:t>к</w:t>
      </w:r>
      <w:r w:rsidRPr="00703D4E">
        <w:rPr>
          <w:spacing w:val="0"/>
        </w:rPr>
        <w:t>тов и федеральных программ.</w:t>
      </w:r>
    </w:p>
    <w:p w:rsidR="00C92B98" w:rsidRDefault="00C92B98" w:rsidP="00C92B98">
      <w:pPr>
        <w:pStyle w:val="a7"/>
        <w:spacing w:line="245" w:lineRule="auto"/>
      </w:pPr>
      <w:r w:rsidRPr="00673D6F">
        <w:rPr>
          <w:b/>
        </w:rPr>
        <w:t>Ключевые слова</w:t>
      </w:r>
      <w:r>
        <w:rPr>
          <w:b/>
        </w:rPr>
        <w:t xml:space="preserve">: </w:t>
      </w:r>
      <w:r w:rsidRPr="00843E3C">
        <w:t>водоснабжение, качество питьевой воды, факторы риска, э</w:t>
      </w:r>
      <w:r w:rsidRPr="00843E3C">
        <w:t>ф</w:t>
      </w:r>
      <w:r w:rsidRPr="00843E3C">
        <w:t>фективность, контрольно-надзорная деятельность</w:t>
      </w:r>
      <w:r>
        <w:t xml:space="preserve">, </w:t>
      </w:r>
      <w:r w:rsidRPr="006A1C4D">
        <w:t>социально-гигиенический монит</w:t>
      </w:r>
      <w:r w:rsidRPr="006A1C4D">
        <w:t>о</w:t>
      </w:r>
      <w:r w:rsidRPr="006A1C4D">
        <w:t>ринг</w:t>
      </w:r>
      <w:r>
        <w:t>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  <w:spacing w:line="295" w:lineRule="auto"/>
      </w:pPr>
      <w:r w:rsidRPr="00D02607">
        <w:t xml:space="preserve">ОЦЕНКА </w:t>
      </w:r>
      <w:proofErr w:type="gramStart"/>
      <w:r w:rsidRPr="00D02607">
        <w:t>РИСКА РАЗВИТИЯ ЗАБОЛЕВАНИЙ ОРГАНОВ ДЫХАНИЯ</w:t>
      </w:r>
      <w:proofErr w:type="gramEnd"/>
      <w:r w:rsidRPr="00D02607">
        <w:t xml:space="preserve"> </w:t>
      </w:r>
      <w:r>
        <w:br/>
      </w:r>
      <w:r w:rsidRPr="00D02607">
        <w:t>И КОМОРБИД</w:t>
      </w:r>
      <w:r>
        <w:t xml:space="preserve">НОЙ ПАТОЛОГИИ </w:t>
      </w:r>
      <w:r w:rsidRPr="00D02607">
        <w:t xml:space="preserve">У ДЕТЕЙ В УСЛОВИЯХ ЗАГРЯЗНЕНИЯ </w:t>
      </w:r>
      <w:r>
        <w:br/>
      </w:r>
      <w:r w:rsidRPr="00D02607">
        <w:t xml:space="preserve">АТМОСФЕРНОГО ВОЗДУХА ХИМИЧЕСКИМИ ВЕЩЕСТВАМИ </w:t>
      </w:r>
      <w:r>
        <w:br/>
      </w:r>
      <w:r w:rsidRPr="00D02607">
        <w:t>ТЕХНОГЕННОГО ПРОИ</w:t>
      </w:r>
      <w:r w:rsidRPr="00D02607">
        <w:t>С</w:t>
      </w:r>
      <w:r w:rsidRPr="00D02607">
        <w:t>ХОЖДЕНИЯ</w:t>
      </w:r>
      <w:r>
        <w:t xml:space="preserve"> (</w:t>
      </w:r>
      <w:r w:rsidRPr="00D02607">
        <w:t>КОГОРТНОЕ ИССЛЕДОВАНИЕ</w:t>
      </w:r>
      <w:r>
        <w:t>)</w:t>
      </w:r>
    </w:p>
    <w:p w:rsidR="00C92B98" w:rsidRPr="006D3235" w:rsidRDefault="00C92B98" w:rsidP="00C92B98">
      <w:pPr>
        <w:pStyle w:val="2"/>
        <w:rPr>
          <w:vertAlign w:val="superscript"/>
        </w:rPr>
      </w:pPr>
      <w:r w:rsidRPr="006D3235">
        <w:t>О.А. Маклакова</w:t>
      </w:r>
      <w:r w:rsidRPr="006D3235">
        <w:rPr>
          <w:vertAlign w:val="superscript"/>
        </w:rPr>
        <w:t>1,2</w:t>
      </w:r>
    </w:p>
    <w:p w:rsidR="00C92B98" w:rsidRPr="00074AD0" w:rsidRDefault="00C92B98" w:rsidP="00C92B98">
      <w:pPr>
        <w:pStyle w:val="3"/>
        <w:rPr>
          <w:spacing w:val="2"/>
        </w:rPr>
      </w:pPr>
      <w:r w:rsidRPr="00D02607">
        <w:rPr>
          <w:vertAlign w:val="superscript"/>
        </w:rPr>
        <w:t>1</w:t>
      </w:r>
      <w:r w:rsidRPr="00D02607">
        <w:t>Федеральный научный центр медико-профилактических технологий управления рисками здоровью населения, Россия, 614045</w:t>
      </w:r>
      <w:r w:rsidRPr="006D3235">
        <w:t>,</w:t>
      </w:r>
      <w:r w:rsidRPr="00D02607">
        <w:t xml:space="preserve"> </w:t>
      </w:r>
      <w:r>
        <w:t xml:space="preserve">г. </w:t>
      </w:r>
      <w:r w:rsidRPr="00D02607">
        <w:t xml:space="preserve">Пермь, </w:t>
      </w:r>
      <w:r>
        <w:t>ул. Монастырская, 82</w:t>
      </w:r>
      <w:r>
        <w:br/>
      </w:r>
      <w:r w:rsidRPr="00D02607">
        <w:rPr>
          <w:vertAlign w:val="superscript"/>
        </w:rPr>
        <w:t>2</w:t>
      </w:r>
      <w:r w:rsidRPr="00D02607">
        <w:t>Пермский государственный национальный исследовательский университет, Россия, 614990</w:t>
      </w:r>
      <w:r>
        <w:t>,</w:t>
      </w:r>
      <w:r w:rsidRPr="00D02607">
        <w:t xml:space="preserve"> Пермь, ул.</w:t>
      </w:r>
      <w:r>
        <w:t> </w:t>
      </w:r>
      <w:r w:rsidRPr="00D02607">
        <w:t>Букирев</w:t>
      </w:r>
      <w:r>
        <w:t>а, 15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  <w:spacing w:line="247" w:lineRule="auto"/>
      </w:pPr>
      <w:r w:rsidRPr="00D02607">
        <w:t xml:space="preserve">Проведено </w:t>
      </w:r>
      <w:proofErr w:type="spellStart"/>
      <w:r w:rsidRPr="00D02607">
        <w:t>когортное</w:t>
      </w:r>
      <w:proofErr w:type="spellEnd"/>
      <w:r w:rsidRPr="00D02607">
        <w:t xml:space="preserve"> исследование 114 детей, которые были разделены на три группы</w:t>
      </w:r>
      <w:r>
        <w:t xml:space="preserve">: </w:t>
      </w:r>
      <w:r w:rsidRPr="00D02607">
        <w:t>группу наблюдения</w:t>
      </w:r>
      <w:proofErr w:type="gramStart"/>
      <w:r w:rsidRPr="00D02607">
        <w:t xml:space="preserve"> А</w:t>
      </w:r>
      <w:proofErr w:type="gramEnd"/>
      <w:r w:rsidRPr="00D02607">
        <w:t xml:space="preserve"> составили 47 человек, проживающих в условиях загрязнения атмосферного воздуха бензолом, фенолом, формальд</w:t>
      </w:r>
      <w:r w:rsidRPr="00D02607">
        <w:t>е</w:t>
      </w:r>
      <w:r w:rsidRPr="00D02607">
        <w:t>гидом и</w:t>
      </w:r>
      <w:r>
        <w:t xml:space="preserve"> </w:t>
      </w:r>
      <w:r w:rsidRPr="00D02607">
        <w:t>взвешенн</w:t>
      </w:r>
      <w:r>
        <w:t>ыми частицами. Группу наблюдения</w:t>
      </w:r>
      <w:proofErr w:type="gramStart"/>
      <w:r>
        <w:t xml:space="preserve"> В</w:t>
      </w:r>
      <w:proofErr w:type="gramEnd"/>
      <w:r>
        <w:t xml:space="preserve"> составили</w:t>
      </w:r>
      <w:r w:rsidRPr="00D02607">
        <w:t xml:space="preserve"> 45 человек, проживающих на территории с аэр</w:t>
      </w:r>
      <w:r w:rsidRPr="00D02607">
        <w:t>о</w:t>
      </w:r>
      <w:r w:rsidRPr="00D02607">
        <w:t>генным воздействием металлов</w:t>
      </w:r>
      <w:r>
        <w:t xml:space="preserve"> (</w:t>
      </w:r>
      <w:r w:rsidRPr="00D02607">
        <w:t>ванадий и марганец</w:t>
      </w:r>
      <w:r>
        <w:t>). Г</w:t>
      </w:r>
      <w:r w:rsidRPr="00D02607">
        <w:t xml:space="preserve">руппу сравнения </w:t>
      </w:r>
      <w:r>
        <w:t xml:space="preserve">составили </w:t>
      </w:r>
      <w:r w:rsidRPr="00D02607">
        <w:t>22 ребенка с территории сан</w:t>
      </w:r>
      <w:r w:rsidRPr="00D02607">
        <w:t>и</w:t>
      </w:r>
      <w:r w:rsidRPr="00D02607">
        <w:t>тарно-гигиенического благополучия.</w:t>
      </w:r>
    </w:p>
    <w:p w:rsidR="00C92B98" w:rsidRPr="00F35456" w:rsidRDefault="00C92B98" w:rsidP="00C92B98">
      <w:pPr>
        <w:pStyle w:val="a7"/>
        <w:spacing w:line="247" w:lineRule="auto"/>
        <w:rPr>
          <w:spacing w:val="4"/>
        </w:rPr>
      </w:pPr>
      <w:r w:rsidRPr="00F35456">
        <w:rPr>
          <w:spacing w:val="4"/>
        </w:rPr>
        <w:t>Установлено, что в условиях аэрогенного воздействия бензола, фенола, формальдегида и взвешенных в</w:t>
      </w:r>
      <w:r w:rsidRPr="00F35456">
        <w:rPr>
          <w:spacing w:val="4"/>
        </w:rPr>
        <w:t>е</w:t>
      </w:r>
      <w:r w:rsidRPr="00F35456">
        <w:rPr>
          <w:spacing w:val="4"/>
        </w:rPr>
        <w:t>ществ у 87,2 % детей в возрасте 4–6 лет встречался аллергический ринит, а у 2/3 детей с болезнями органов дыхания развивалась вторичная иммунная недостаточность. К младшему школьному возрасту вероятность развития аллергического ринита, бронхиальной астмы, рецидивирующего бронхита и функциональной пат</w:t>
      </w:r>
      <w:r w:rsidRPr="00F35456">
        <w:rPr>
          <w:spacing w:val="4"/>
        </w:rPr>
        <w:t>о</w:t>
      </w:r>
      <w:r w:rsidRPr="00F35456">
        <w:rPr>
          <w:spacing w:val="4"/>
        </w:rPr>
        <w:t>логии желудочно-кишечного тракта возросла в 4,6–7,9 раза. К 11–14-летнему возрасту отмечался рост частоты встречаемости хронических заболеваний желудочно-кишечного тракта в 14,5 раза, а вероятность формиров</w:t>
      </w:r>
      <w:r w:rsidRPr="00F35456">
        <w:rPr>
          <w:spacing w:val="4"/>
        </w:rPr>
        <w:t>а</w:t>
      </w:r>
      <w:r w:rsidRPr="00F35456">
        <w:rPr>
          <w:spacing w:val="4"/>
        </w:rPr>
        <w:t xml:space="preserve">ния вторичного </w:t>
      </w:r>
      <w:proofErr w:type="spellStart"/>
      <w:r w:rsidRPr="00F35456">
        <w:rPr>
          <w:spacing w:val="4"/>
        </w:rPr>
        <w:t>иммунодефицитного</w:t>
      </w:r>
      <w:proofErr w:type="spellEnd"/>
      <w:r w:rsidRPr="00F35456">
        <w:rPr>
          <w:spacing w:val="4"/>
        </w:rPr>
        <w:t xml:space="preserve"> состояния и расстройства вегетативной нервной системы была выше в</w:t>
      </w:r>
      <w:r>
        <w:rPr>
          <w:spacing w:val="4"/>
        </w:rPr>
        <w:t> </w:t>
      </w:r>
      <w:r w:rsidRPr="00F35456">
        <w:rPr>
          <w:spacing w:val="4"/>
        </w:rPr>
        <w:t>6,0–6,6 раза.</w:t>
      </w:r>
    </w:p>
    <w:p w:rsidR="00C92B98" w:rsidRPr="00F35456" w:rsidRDefault="00C92B98" w:rsidP="00C92B98">
      <w:pPr>
        <w:pStyle w:val="a7"/>
        <w:spacing w:line="247" w:lineRule="auto"/>
        <w:rPr>
          <w:spacing w:val="4"/>
          <w:highlight w:val="yellow"/>
        </w:rPr>
      </w:pPr>
      <w:r w:rsidRPr="00F35456">
        <w:rPr>
          <w:spacing w:val="4"/>
        </w:rPr>
        <w:t>Отмечено, что в условиях загрязнения атмосферного воздуха металлами у 65,8 % дошкольников диагностир</w:t>
      </w:r>
      <w:r w:rsidRPr="00F35456">
        <w:rPr>
          <w:spacing w:val="4"/>
        </w:rPr>
        <w:t>о</w:t>
      </w:r>
      <w:r w:rsidRPr="00F35456">
        <w:rPr>
          <w:spacing w:val="4"/>
        </w:rPr>
        <w:t>вались хронические заболевания лимфоидной ткани носоглотки, риск сочетания болезней органов дыхания и патологии нервной системы у них был выше в 1,9 раза. К 7–10 годам вероятность развития аллергического ринита, патологии лимфоидной ткани носоглотки и функциональных нарушений пищеварительной системы ув</w:t>
      </w:r>
      <w:r w:rsidRPr="00F35456">
        <w:rPr>
          <w:spacing w:val="4"/>
        </w:rPr>
        <w:t>е</w:t>
      </w:r>
      <w:r w:rsidRPr="00F35456">
        <w:rPr>
          <w:spacing w:val="4"/>
        </w:rPr>
        <w:t>личилась в 3,9–5,3 раза. К старшему школьному возрасту у детей с хроническими заболеваниями органов дыхания риск развития вегетативной дистонии и вторичной и</w:t>
      </w:r>
      <w:r w:rsidRPr="00F35456">
        <w:rPr>
          <w:spacing w:val="4"/>
        </w:rPr>
        <w:t>м</w:t>
      </w:r>
      <w:r w:rsidRPr="00F35456">
        <w:rPr>
          <w:spacing w:val="4"/>
        </w:rPr>
        <w:t>мунной недостаточности возрастает в 2,7–3,0 раза.</w:t>
      </w:r>
    </w:p>
    <w:p w:rsidR="00C92B98" w:rsidRDefault="00C92B98" w:rsidP="00C92B98">
      <w:pPr>
        <w:pStyle w:val="a7"/>
        <w:spacing w:line="247" w:lineRule="auto"/>
        <w:rPr>
          <w:highlight w:val="yellow"/>
        </w:rPr>
      </w:pPr>
      <w:proofErr w:type="gramStart"/>
      <w:r w:rsidRPr="00D02607">
        <w:rPr>
          <w:b/>
        </w:rPr>
        <w:t>Ключевые слова</w:t>
      </w:r>
      <w:r>
        <w:rPr>
          <w:b/>
        </w:rPr>
        <w:t xml:space="preserve">: </w:t>
      </w:r>
      <w:r w:rsidRPr="00D02607">
        <w:t xml:space="preserve">дети, заболевания органов дыхания, </w:t>
      </w:r>
      <w:proofErr w:type="spellStart"/>
      <w:r w:rsidRPr="00D02607">
        <w:t>коморбидная</w:t>
      </w:r>
      <w:proofErr w:type="spellEnd"/>
      <w:r w:rsidRPr="00D02607">
        <w:t xml:space="preserve"> патология, взвешенные частицы, бензол, фенол, формальдегид, металлы, </w:t>
      </w:r>
      <w:proofErr w:type="spellStart"/>
      <w:r w:rsidRPr="00D02607">
        <w:t>когортное</w:t>
      </w:r>
      <w:proofErr w:type="spellEnd"/>
      <w:r w:rsidRPr="00D02607">
        <w:t xml:space="preserve"> исследование</w:t>
      </w:r>
      <w:r>
        <w:t>.</w:t>
      </w:r>
      <w:proofErr w:type="gramEnd"/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r>
        <w:t xml:space="preserve">КЛИНИКО-ЭПИДЕМИОЛОГИЧЕСКАЯ ХАРАКТЕРИСТИКА УРОВНЯ </w:t>
      </w:r>
      <w:r>
        <w:br/>
        <w:t xml:space="preserve">И ДИНАМИКИ ЗЛОКАЧЕСТВЕННЫХ НОВООБРАЗОВАНИЙ </w:t>
      </w:r>
      <w:r>
        <w:br/>
        <w:t xml:space="preserve">ЩИТОВИДНОЙ ЖЕЛЕЗЫ У НАСЕЛЕНИЯ ЧЕЛЯБИНСКОЙ ОБЛАСТИ </w:t>
      </w:r>
      <w:r>
        <w:br/>
        <w:t>ЗА П</w:t>
      </w:r>
      <w:r>
        <w:t>Е</w:t>
      </w:r>
      <w:r>
        <w:t>РИОД С 1998 ПО 2016 Г.</w:t>
      </w:r>
    </w:p>
    <w:p w:rsidR="00C92B98" w:rsidRDefault="00C92B98" w:rsidP="00C92B98">
      <w:pPr>
        <w:pStyle w:val="2"/>
        <w:rPr>
          <w:vertAlign w:val="superscript"/>
        </w:rPr>
      </w:pPr>
      <w:r>
        <w:t>С.А.</w:t>
      </w:r>
      <w:r>
        <w:rPr>
          <w:vertAlign w:val="superscript"/>
        </w:rPr>
        <w:t xml:space="preserve"> </w:t>
      </w:r>
      <w:r>
        <w:t>Шалагинов</w:t>
      </w:r>
      <w:r>
        <w:rPr>
          <w:vertAlign w:val="superscript"/>
        </w:rPr>
        <w:t>1</w:t>
      </w:r>
      <w:r>
        <w:t>, Л.Ю.</w:t>
      </w:r>
      <w:r>
        <w:rPr>
          <w:vertAlign w:val="superscript"/>
        </w:rPr>
        <w:t xml:space="preserve"> </w:t>
      </w:r>
      <w:r>
        <w:t>Крестинина</w:t>
      </w:r>
      <w:r>
        <w:rPr>
          <w:vertAlign w:val="superscript"/>
        </w:rPr>
        <w:t>1</w:t>
      </w:r>
      <w:r>
        <w:t>, А.С.</w:t>
      </w:r>
      <w:r>
        <w:rPr>
          <w:vertAlign w:val="superscript"/>
        </w:rPr>
        <w:t xml:space="preserve"> </w:t>
      </w:r>
      <w:r>
        <w:t>Доможирова</w:t>
      </w:r>
      <w:r>
        <w:rPr>
          <w:vertAlign w:val="superscript"/>
        </w:rPr>
        <w:t>2</w:t>
      </w:r>
      <w:r>
        <w:t>, С.В.</w:t>
      </w:r>
      <w:r>
        <w:rPr>
          <w:vertAlign w:val="superscript"/>
        </w:rPr>
        <w:t xml:space="preserve"> </w:t>
      </w:r>
      <w:r>
        <w:t>Се</w:t>
      </w:r>
      <w:r>
        <w:t>р</w:t>
      </w:r>
      <w:r>
        <w:t>гийко</w:t>
      </w:r>
      <w:r>
        <w:rPr>
          <w:vertAlign w:val="superscript"/>
        </w:rPr>
        <w:t>3,4</w:t>
      </w:r>
    </w:p>
    <w:p w:rsidR="00C92B98" w:rsidRDefault="00C92B98" w:rsidP="00C92B98">
      <w:pPr>
        <w:pStyle w:val="3"/>
      </w:pPr>
      <w:proofErr w:type="gramStart"/>
      <w:r>
        <w:rPr>
          <w:vertAlign w:val="superscript"/>
        </w:rPr>
        <w:t>1</w:t>
      </w:r>
      <w:r>
        <w:t>Уральский научно-практический центр радиационной медицины ФМБА России, Россия, 454048, г. Челябинск, ул. Воровского, 68А</w:t>
      </w:r>
      <w:r>
        <w:br/>
      </w:r>
      <w:r>
        <w:rPr>
          <w:vertAlign w:val="superscript"/>
        </w:rPr>
        <w:t>2</w:t>
      </w:r>
      <w:r>
        <w:t>Челябинский областной клинический центр онкологии и ядерной медицины, Россия, 454087, г. Челябинск, ул. Блюхера, 42</w:t>
      </w:r>
      <w:r>
        <w:br/>
      </w:r>
      <w:r>
        <w:rPr>
          <w:vertAlign w:val="superscript"/>
        </w:rPr>
        <w:t>3</w:t>
      </w:r>
      <w:r>
        <w:t>Южно-Уральский государственный медицинский университет Минздрава России, Россия, 454092, г. Челябинск, ул. Воровского, 64</w:t>
      </w:r>
      <w:r>
        <w:br/>
      </w:r>
      <w:r>
        <w:rPr>
          <w:vertAlign w:val="superscript"/>
        </w:rPr>
        <w:t>4</w:t>
      </w:r>
      <w:r>
        <w:t>Городская клиническая больница № 1, Россия, 454048, г. Челябинск, ул. Воровского, 16</w:t>
      </w:r>
      <w:proofErr w:type="gramEnd"/>
    </w:p>
    <w:p w:rsidR="00C92B98" w:rsidRPr="00FB54E4" w:rsidRDefault="00C92B98" w:rsidP="00C92B98">
      <w:pPr>
        <w:pStyle w:val="a6"/>
        <w:rPr>
          <w:sz w:val="16"/>
          <w:szCs w:val="16"/>
        </w:rPr>
      </w:pPr>
    </w:p>
    <w:p w:rsidR="00C92B98" w:rsidRPr="00FB54E4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  <w:spacing w:line="247" w:lineRule="auto"/>
      </w:pPr>
      <w:r>
        <w:t>Оценена динамика заболеваемости злокачественными новообразованиями (ЗНО) щитовидной железы насел</w:t>
      </w:r>
      <w:r>
        <w:t>е</w:t>
      </w:r>
      <w:r>
        <w:t>ния Челябинской области за период с 1998 по 2016 г. среди лиц различного возраста, охарактеризована структура заболеваемости ра</w:t>
      </w:r>
      <w:r>
        <w:t>з</w:t>
      </w:r>
      <w:r>
        <w:t>личными формами ЗНО в гендерном аспекте.</w:t>
      </w:r>
    </w:p>
    <w:p w:rsidR="00C92B98" w:rsidRPr="00062786" w:rsidRDefault="00C92B98" w:rsidP="00C92B98">
      <w:pPr>
        <w:pStyle w:val="a7"/>
        <w:spacing w:line="247" w:lineRule="auto"/>
        <w:rPr>
          <w:b/>
          <w:spacing w:val="4"/>
        </w:rPr>
      </w:pPr>
      <w:r w:rsidRPr="00062786">
        <w:rPr>
          <w:spacing w:val="4"/>
        </w:rPr>
        <w:t>Использованы данные основных лечебно-диагностических учреждений Челябинской области, в которые могли поступать сведения о пациентах со злокачественными новообразованиями щитовидной железы. Выя</w:t>
      </w:r>
      <w:r w:rsidRPr="00062786">
        <w:rPr>
          <w:spacing w:val="4"/>
        </w:rPr>
        <w:t>в</w:t>
      </w:r>
      <w:r w:rsidRPr="00062786">
        <w:rPr>
          <w:spacing w:val="4"/>
        </w:rPr>
        <w:t xml:space="preserve">лено 4467 лиц с впервые диагностированным, </w:t>
      </w:r>
      <w:proofErr w:type="spellStart"/>
      <w:r w:rsidRPr="00062786">
        <w:rPr>
          <w:spacing w:val="4"/>
        </w:rPr>
        <w:t>гистологически</w:t>
      </w:r>
      <w:proofErr w:type="spellEnd"/>
      <w:r w:rsidRPr="00062786">
        <w:rPr>
          <w:spacing w:val="4"/>
        </w:rPr>
        <w:t xml:space="preserve"> (93,2 %) и </w:t>
      </w:r>
      <w:proofErr w:type="spellStart"/>
      <w:r w:rsidRPr="00062786">
        <w:rPr>
          <w:spacing w:val="4"/>
        </w:rPr>
        <w:t>цитологически</w:t>
      </w:r>
      <w:proofErr w:type="spellEnd"/>
      <w:r w:rsidRPr="00062786">
        <w:rPr>
          <w:spacing w:val="4"/>
        </w:rPr>
        <w:t xml:space="preserve"> (6,8 %) подтвержденным </w:t>
      </w:r>
      <w:r>
        <w:rPr>
          <w:spacing w:val="4"/>
        </w:rPr>
        <w:br/>
      </w:r>
      <w:r w:rsidRPr="00062786">
        <w:rPr>
          <w:spacing w:val="4"/>
        </w:rPr>
        <w:t>диагн</w:t>
      </w:r>
      <w:r w:rsidRPr="00062786">
        <w:rPr>
          <w:spacing w:val="4"/>
        </w:rPr>
        <w:t>о</w:t>
      </w:r>
      <w:r w:rsidRPr="00062786">
        <w:rPr>
          <w:spacing w:val="4"/>
        </w:rPr>
        <w:t>зом.</w:t>
      </w:r>
    </w:p>
    <w:p w:rsidR="00C92B98" w:rsidRPr="00F84483" w:rsidRDefault="00C92B98" w:rsidP="00C92B98">
      <w:pPr>
        <w:pStyle w:val="a7"/>
        <w:spacing w:line="247" w:lineRule="auto"/>
        <w:rPr>
          <w:szCs w:val="18"/>
        </w:rPr>
      </w:pPr>
      <w:r w:rsidRPr="00F84483">
        <w:rPr>
          <w:szCs w:val="18"/>
        </w:rPr>
        <w:t>Установлено, что динамика изменения первичной заболеваемости ЗНО щитовидной железы имеет положительный тренд роста и полностью соответствует д</w:t>
      </w:r>
      <w:r w:rsidRPr="00F84483">
        <w:rPr>
          <w:szCs w:val="18"/>
        </w:rPr>
        <w:t>и</w:t>
      </w:r>
      <w:r w:rsidRPr="00F84483">
        <w:rPr>
          <w:szCs w:val="18"/>
        </w:rPr>
        <w:t xml:space="preserve">намике по Российской Федерации. </w:t>
      </w:r>
      <w:proofErr w:type="gramStart"/>
      <w:r w:rsidRPr="00F84483">
        <w:rPr>
          <w:szCs w:val="18"/>
        </w:rPr>
        <w:t>Рост</w:t>
      </w:r>
      <w:proofErr w:type="gramEnd"/>
      <w:r w:rsidRPr="00F84483">
        <w:rPr>
          <w:szCs w:val="18"/>
        </w:rPr>
        <w:t xml:space="preserve"> достигнут главным образом за счет повышения первичной заболеваемости в возрастной группе населения 60 лет и старше. Результ</w:t>
      </w:r>
      <w:r w:rsidRPr="00F84483">
        <w:rPr>
          <w:szCs w:val="18"/>
        </w:rPr>
        <w:t>а</w:t>
      </w:r>
      <w:r w:rsidRPr="00F84483">
        <w:rPr>
          <w:szCs w:val="18"/>
        </w:rPr>
        <w:t xml:space="preserve">ты показали, что наиболее распространенной формой ЗНО является папиллярный рак, который составил 68,1 % случаев в общей структуре рака щитовидной железы в Челябинской области. </w:t>
      </w:r>
      <w:proofErr w:type="gramStart"/>
      <w:r w:rsidRPr="00F84483">
        <w:rPr>
          <w:szCs w:val="18"/>
        </w:rPr>
        <w:t>Данная форма ЗНО имела неуклонную тенденцию к росту</w:t>
      </w:r>
      <w:r>
        <w:rPr>
          <w:szCs w:val="18"/>
        </w:rPr>
        <w:t>:</w:t>
      </w:r>
      <w:r w:rsidRPr="00F84483">
        <w:rPr>
          <w:szCs w:val="18"/>
        </w:rPr>
        <w:t xml:space="preserve"> от 64,2 % в начальном периоде наблюдения до 73,0 % в заключительном.</w:t>
      </w:r>
      <w:proofErr w:type="gramEnd"/>
      <w:r w:rsidRPr="00F84483">
        <w:rPr>
          <w:szCs w:val="18"/>
        </w:rPr>
        <w:t xml:space="preserve"> В то же время фолл</w:t>
      </w:r>
      <w:r w:rsidRPr="00F84483">
        <w:rPr>
          <w:szCs w:val="18"/>
        </w:rPr>
        <w:t>и</w:t>
      </w:r>
      <w:r w:rsidRPr="00F84483">
        <w:rPr>
          <w:szCs w:val="18"/>
        </w:rPr>
        <w:t xml:space="preserve">кулярный рак имел тенденцию к снижению </w:t>
      </w:r>
      <w:r>
        <w:rPr>
          <w:szCs w:val="18"/>
        </w:rPr>
        <w:t>(</w:t>
      </w:r>
      <w:r w:rsidRPr="00F84483">
        <w:rPr>
          <w:szCs w:val="18"/>
        </w:rPr>
        <w:t>от 25,5 до 18,2 %</w:t>
      </w:r>
      <w:r>
        <w:rPr>
          <w:szCs w:val="18"/>
        </w:rPr>
        <w:t>)</w:t>
      </w:r>
      <w:r w:rsidRPr="00F84483">
        <w:rPr>
          <w:szCs w:val="18"/>
        </w:rPr>
        <w:t xml:space="preserve"> так же</w:t>
      </w:r>
      <w:r>
        <w:rPr>
          <w:szCs w:val="18"/>
        </w:rPr>
        <w:t>,</w:t>
      </w:r>
      <w:r w:rsidRPr="00F84483">
        <w:rPr>
          <w:szCs w:val="18"/>
        </w:rPr>
        <w:t xml:space="preserve"> как совокупная доля других, относительно редко встречающихся форм рака. Сре</w:t>
      </w:r>
      <w:r w:rsidRPr="00F84483">
        <w:rPr>
          <w:szCs w:val="18"/>
        </w:rPr>
        <w:t>д</w:t>
      </w:r>
      <w:r w:rsidRPr="00F84483">
        <w:rPr>
          <w:szCs w:val="18"/>
        </w:rPr>
        <w:t xml:space="preserve">ний возраст </w:t>
      </w:r>
      <w:r>
        <w:rPr>
          <w:szCs w:val="18"/>
        </w:rPr>
        <w:t xml:space="preserve">у </w:t>
      </w:r>
      <w:r w:rsidRPr="00F84483">
        <w:rPr>
          <w:szCs w:val="18"/>
        </w:rPr>
        <w:t>мужчин на момент выявления ЗНО щитовидной железы был ниже, чем у женщин (49,6</w:t>
      </w:r>
      <w:r w:rsidRPr="00F84483">
        <w:rPr>
          <w:color w:val="000000"/>
          <w:szCs w:val="18"/>
        </w:rPr>
        <w:t> ± </w:t>
      </w:r>
      <w:r w:rsidRPr="00F84483">
        <w:rPr>
          <w:szCs w:val="18"/>
        </w:rPr>
        <w:t>0,22 и 50,9</w:t>
      </w:r>
      <w:r w:rsidRPr="00F84483">
        <w:rPr>
          <w:color w:val="000000"/>
          <w:szCs w:val="18"/>
        </w:rPr>
        <w:t> ± </w:t>
      </w:r>
      <w:r w:rsidRPr="00F84483">
        <w:rPr>
          <w:szCs w:val="18"/>
        </w:rPr>
        <w:t xml:space="preserve">0,09 г., </w:t>
      </w:r>
      <w:r w:rsidRPr="00F84483">
        <w:rPr>
          <w:szCs w:val="18"/>
          <w:lang w:val="en-US"/>
        </w:rPr>
        <w:t>p</w:t>
      </w:r>
      <w:r w:rsidRPr="00F84483">
        <w:rPr>
          <w:szCs w:val="18"/>
        </w:rPr>
        <w:t xml:space="preserve"> &lt;0,001 соответственно). Наибольший средний возраст был у лиц с недифференцированной формой ЗНО (66,9</w:t>
      </w:r>
      <w:r w:rsidRPr="00F84483">
        <w:rPr>
          <w:color w:val="000000"/>
          <w:szCs w:val="18"/>
        </w:rPr>
        <w:t> ± </w:t>
      </w:r>
      <w:r w:rsidRPr="00F84483">
        <w:rPr>
          <w:szCs w:val="18"/>
        </w:rPr>
        <w:t>0,7 г.), наименьший – у лиц с фолликулярным раком (49,7</w:t>
      </w:r>
      <w:r w:rsidRPr="00F84483">
        <w:rPr>
          <w:color w:val="000000"/>
          <w:szCs w:val="18"/>
        </w:rPr>
        <w:t> ± </w:t>
      </w:r>
      <w:r w:rsidRPr="00F84483">
        <w:rPr>
          <w:szCs w:val="18"/>
        </w:rPr>
        <w:t xml:space="preserve">0,1 г., </w:t>
      </w:r>
      <w:r w:rsidRPr="00F84483">
        <w:rPr>
          <w:szCs w:val="18"/>
          <w:lang w:val="en-US"/>
        </w:rPr>
        <w:t>p</w:t>
      </w:r>
      <w:r>
        <w:rPr>
          <w:szCs w:val="18"/>
        </w:rPr>
        <w:t> </w:t>
      </w:r>
      <w:r w:rsidRPr="00F84483">
        <w:rPr>
          <w:szCs w:val="18"/>
        </w:rPr>
        <w:t>&lt;0,001).</w:t>
      </w:r>
    </w:p>
    <w:p w:rsidR="00C92B98" w:rsidRPr="00F84483" w:rsidRDefault="00C92B98" w:rsidP="00C92B98">
      <w:pPr>
        <w:pStyle w:val="a7"/>
        <w:spacing w:line="247" w:lineRule="auto"/>
        <w:rPr>
          <w:spacing w:val="0"/>
        </w:rPr>
      </w:pPr>
      <w:proofErr w:type="gramStart"/>
      <w:r w:rsidRPr="00F84483">
        <w:rPr>
          <w:b/>
          <w:spacing w:val="0"/>
        </w:rPr>
        <w:t xml:space="preserve">Ключевые слова: </w:t>
      </w:r>
      <w:r w:rsidRPr="00F84483">
        <w:rPr>
          <w:spacing w:val="0"/>
        </w:rPr>
        <w:t>щитовидная железа, злокачественное новообразование, динамика ЗНО, Челябинская область, население, возраст, заболеваемость, структура.</w:t>
      </w:r>
      <w:proofErr w:type="gramEnd"/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Pr="00600315" w:rsidRDefault="00C92B98" w:rsidP="00C92B98">
      <w:pPr>
        <w:pStyle w:val="1"/>
      </w:pPr>
      <w:r w:rsidRPr="00600315">
        <w:t>ОЦЕНКА ПИЩЕВЫХ РИСКОВ</w:t>
      </w:r>
      <w:r>
        <w:t>,</w:t>
      </w:r>
      <w:r w:rsidRPr="00600315">
        <w:t xml:space="preserve"> ВЫЗВАННЫХ ПИЩЕВЫМИ ДОБАВКАМИ</w:t>
      </w:r>
      <w:r>
        <w:t xml:space="preserve">: </w:t>
      </w:r>
      <w:r>
        <w:br/>
      </w:r>
      <w:r w:rsidRPr="00600315">
        <w:t>Ц</w:t>
      </w:r>
      <w:r w:rsidRPr="00600315">
        <w:t>Е</w:t>
      </w:r>
      <w:r w:rsidRPr="00600315">
        <w:t>ЛЕВОЕ ИССЛЕДОВАНИЕ ПИТАНИЯ ВО ВЬЕТНАМЕ</w:t>
      </w:r>
    </w:p>
    <w:p w:rsidR="00C92B98" w:rsidRDefault="00C92B98" w:rsidP="00C92B98">
      <w:pPr>
        <w:pStyle w:val="2"/>
        <w:rPr>
          <w:vertAlign w:val="superscript"/>
        </w:rPr>
      </w:pPr>
      <w:r>
        <w:lastRenderedPageBreak/>
        <w:t>Нгуен Ханг Лонг</w:t>
      </w:r>
      <w:r w:rsidRPr="00A95D49">
        <w:rPr>
          <w:vertAlign w:val="superscript"/>
        </w:rPr>
        <w:t>1</w:t>
      </w:r>
      <w:r w:rsidRPr="00A95D49">
        <w:t xml:space="preserve">, </w:t>
      </w:r>
      <w:r>
        <w:t>Ли</w:t>
      </w:r>
      <w:r w:rsidRPr="00A95D49">
        <w:t xml:space="preserve"> </w:t>
      </w:r>
      <w:r>
        <w:t>Ти</w:t>
      </w:r>
      <w:r w:rsidRPr="00A95D49">
        <w:t xml:space="preserve"> </w:t>
      </w:r>
      <w:r>
        <w:t>Хонг</w:t>
      </w:r>
      <w:r w:rsidRPr="00A95D49">
        <w:t xml:space="preserve"> </w:t>
      </w:r>
      <w:r>
        <w:t>Хао</w:t>
      </w:r>
      <w:r w:rsidRPr="00A95D49">
        <w:rPr>
          <w:vertAlign w:val="superscript"/>
        </w:rPr>
        <w:t>2</w:t>
      </w:r>
      <w:r w:rsidRPr="00A95D49">
        <w:t xml:space="preserve">, </w:t>
      </w:r>
      <w:r>
        <w:t>Ву Ти Транг</w:t>
      </w:r>
      <w:r w:rsidRPr="00A95D49">
        <w:rPr>
          <w:vertAlign w:val="superscript"/>
        </w:rPr>
        <w:t>2</w:t>
      </w:r>
      <w:r w:rsidRPr="00A95D49">
        <w:t xml:space="preserve">, </w:t>
      </w:r>
      <w:r>
        <w:t>Тран Цао Шон</w:t>
      </w:r>
      <w:r w:rsidRPr="00A95D49">
        <w:rPr>
          <w:vertAlign w:val="superscript"/>
        </w:rPr>
        <w:t>2</w:t>
      </w:r>
      <w:r w:rsidRPr="00A95D49">
        <w:t xml:space="preserve">, </w:t>
      </w:r>
      <w:r>
        <w:t>Лам Куок Ханг</w:t>
      </w:r>
      <w:r w:rsidRPr="00A95D49">
        <w:rPr>
          <w:vertAlign w:val="superscript"/>
        </w:rPr>
        <w:t>1</w:t>
      </w:r>
    </w:p>
    <w:p w:rsidR="00C92B98" w:rsidRPr="00A8403E" w:rsidRDefault="00C92B98" w:rsidP="00C92B98">
      <w:pPr>
        <w:pStyle w:val="3"/>
      </w:pPr>
      <w:r>
        <w:rPr>
          <w:vertAlign w:val="superscript"/>
        </w:rPr>
        <w:t xml:space="preserve">1 </w:t>
      </w:r>
      <w:r>
        <w:t xml:space="preserve">Продовольственное управление Вьетнама, </w:t>
      </w:r>
      <w:r>
        <w:rPr>
          <w:rStyle w:val="tlid-translation"/>
        </w:rPr>
        <w:t>Вьетнам,</w:t>
      </w:r>
      <w:r w:rsidRPr="00A8403E">
        <w:rPr>
          <w:rStyle w:val="tlid-translation"/>
        </w:rPr>
        <w:t xml:space="preserve"> Ханой</w:t>
      </w:r>
      <w:r>
        <w:rPr>
          <w:rStyle w:val="tlid-translation"/>
        </w:rPr>
        <w:t xml:space="preserve">, Гианг Во Ба Динь-Стрит, </w:t>
      </w:r>
      <w:r w:rsidRPr="00A8403E">
        <w:rPr>
          <w:rStyle w:val="tlid-translation"/>
        </w:rPr>
        <w:t>138</w:t>
      </w:r>
      <w:r>
        <w:rPr>
          <w:rStyle w:val="tlid-translation"/>
        </w:rPr>
        <w:t>A</w:t>
      </w:r>
      <w:r>
        <w:rPr>
          <w:rStyle w:val="tlid-translation"/>
        </w:rPr>
        <w:br/>
      </w:r>
      <w:r>
        <w:rPr>
          <w:vertAlign w:val="superscript"/>
        </w:rPr>
        <w:t xml:space="preserve">2 </w:t>
      </w:r>
      <w:r w:rsidRPr="00A8403E">
        <w:t>Национальный институт контроля пищевых продуктов</w:t>
      </w:r>
      <w:r>
        <w:t>, Вьетнам,</w:t>
      </w:r>
      <w:r w:rsidRPr="00A8403E">
        <w:t xml:space="preserve"> </w:t>
      </w:r>
      <w:r>
        <w:t xml:space="preserve">Ханой, </w:t>
      </w:r>
      <w:r w:rsidRPr="00D23A0E">
        <w:t>Фам Тан Дуат</w:t>
      </w:r>
      <w:r>
        <w:t>-Стрит</w:t>
      </w:r>
      <w:r w:rsidRPr="00D23A0E">
        <w:t>,</w:t>
      </w:r>
      <w:r>
        <w:t xml:space="preserve"> </w:t>
      </w:r>
      <w:r w:rsidRPr="00A8403E">
        <w:t>65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</w:pPr>
      <w:r>
        <w:t>Оценены</w:t>
      </w:r>
      <w:r w:rsidRPr="00600315">
        <w:t xml:space="preserve"> риски, связанные с </w:t>
      </w:r>
      <w:r>
        <w:t xml:space="preserve">шестью типами пищевых добавок, </w:t>
      </w:r>
      <w:r w:rsidRPr="00600315">
        <w:t xml:space="preserve">включая </w:t>
      </w:r>
      <w:proofErr w:type="spellStart"/>
      <w:r w:rsidRPr="00600315">
        <w:t>бензоаты</w:t>
      </w:r>
      <w:proofErr w:type="spellEnd"/>
      <w:r w:rsidRPr="00600315">
        <w:t xml:space="preserve">, </w:t>
      </w:r>
      <w:proofErr w:type="spellStart"/>
      <w:r w:rsidRPr="00600315">
        <w:t>сорбаты</w:t>
      </w:r>
      <w:proofErr w:type="spellEnd"/>
      <w:r w:rsidRPr="00600315">
        <w:t xml:space="preserve">, </w:t>
      </w:r>
      <w:proofErr w:type="spellStart"/>
      <w:r w:rsidRPr="00600315">
        <w:t>цикламат</w:t>
      </w:r>
      <w:proofErr w:type="spellEnd"/>
      <w:r w:rsidRPr="00600315">
        <w:t>, сах</w:t>
      </w:r>
      <w:r w:rsidRPr="00600315">
        <w:t>а</w:t>
      </w:r>
      <w:r w:rsidRPr="00600315">
        <w:t xml:space="preserve">рин, </w:t>
      </w:r>
      <w:proofErr w:type="spellStart"/>
      <w:r w:rsidRPr="00600315">
        <w:t>тартразин</w:t>
      </w:r>
      <w:proofErr w:type="spellEnd"/>
      <w:r w:rsidRPr="00600315">
        <w:t xml:space="preserve"> и желтый</w:t>
      </w:r>
      <w:r>
        <w:t xml:space="preserve"> «С</w:t>
      </w:r>
      <w:r w:rsidRPr="00600315">
        <w:t>олнечный закат</w:t>
      </w:r>
      <w:r>
        <w:t>».</w:t>
      </w:r>
      <w:r w:rsidRPr="00F954C1">
        <w:t xml:space="preserve"> </w:t>
      </w:r>
      <w:r>
        <w:t>О</w:t>
      </w:r>
      <w:r w:rsidRPr="00600315">
        <w:t>ценка проводилась на основе данных о совокупном потреблении пр</w:t>
      </w:r>
      <w:r w:rsidRPr="00600315">
        <w:t>о</w:t>
      </w:r>
      <w:r w:rsidRPr="00600315">
        <w:t>дуктов питания населением Вьетнама и данных о содержании пищевых добавок в продуктах питания, взятых из руково</w:t>
      </w:r>
      <w:proofErr w:type="gramStart"/>
      <w:r w:rsidRPr="00600315">
        <w:t>дств Вс</w:t>
      </w:r>
      <w:proofErr w:type="gramEnd"/>
      <w:r w:rsidRPr="00600315">
        <w:t xml:space="preserve">емирной </w:t>
      </w:r>
      <w:r>
        <w:t>организации з</w:t>
      </w:r>
      <w:r w:rsidRPr="00600315">
        <w:t>дравоохранения. Исследования потребления п</w:t>
      </w:r>
      <w:r w:rsidRPr="00600315">
        <w:t>и</w:t>
      </w:r>
      <w:r w:rsidRPr="00600315">
        <w:t xml:space="preserve">щевых продуктов и отборы пищевых проб проводились в шести провинциях, включая </w:t>
      </w:r>
      <w:r>
        <w:t xml:space="preserve">Ханой, Нам Дин, </w:t>
      </w:r>
      <w:proofErr w:type="spellStart"/>
      <w:r>
        <w:t>Туа</w:t>
      </w:r>
      <w:proofErr w:type="spellEnd"/>
      <w:r>
        <w:t xml:space="preserve"> </w:t>
      </w:r>
      <w:proofErr w:type="spellStart"/>
      <w:r>
        <w:t>Тьен</w:t>
      </w:r>
      <w:proofErr w:type="spellEnd"/>
      <w:r>
        <w:t xml:space="preserve"> </w:t>
      </w:r>
      <w:proofErr w:type="spellStart"/>
      <w:r>
        <w:t>Хуэ</w:t>
      </w:r>
      <w:proofErr w:type="spellEnd"/>
      <w:r>
        <w:t xml:space="preserve">, </w:t>
      </w:r>
      <w:proofErr w:type="spellStart"/>
      <w:r>
        <w:t>Кванг</w:t>
      </w:r>
      <w:proofErr w:type="spellEnd"/>
      <w:proofErr w:type="gramStart"/>
      <w:r>
        <w:t xml:space="preserve"> Т</w:t>
      </w:r>
      <w:proofErr w:type="gramEnd"/>
      <w:r>
        <w:t xml:space="preserve">ри Хо Ши Мин и Тай Нин. </w:t>
      </w:r>
      <w:r w:rsidRPr="00600315">
        <w:t>В результате было определено количество потребляемых пищевых продуктов для каждой о</w:t>
      </w:r>
      <w:r w:rsidRPr="00600315">
        <w:t>т</w:t>
      </w:r>
      <w:r w:rsidRPr="00600315">
        <w:t>дельной группы продуктов и для отдельных возрастных групп.</w:t>
      </w:r>
      <w:r>
        <w:t xml:space="preserve"> </w:t>
      </w:r>
      <w:r>
        <w:tab/>
      </w:r>
    </w:p>
    <w:p w:rsidR="00C92B98" w:rsidRDefault="00C92B98" w:rsidP="00C92B98">
      <w:pPr>
        <w:pStyle w:val="a7"/>
      </w:pPr>
      <w:r w:rsidRPr="00600315">
        <w:t xml:space="preserve">Результаты исследования шести групп пищевых добавок, включая </w:t>
      </w:r>
      <w:proofErr w:type="spellStart"/>
      <w:r w:rsidRPr="00600315">
        <w:t>бензоаты</w:t>
      </w:r>
      <w:proofErr w:type="spellEnd"/>
      <w:r w:rsidRPr="00600315">
        <w:t xml:space="preserve">, </w:t>
      </w:r>
      <w:proofErr w:type="spellStart"/>
      <w:r w:rsidRPr="00600315">
        <w:t>сорбаты</w:t>
      </w:r>
      <w:proofErr w:type="spellEnd"/>
      <w:r w:rsidRPr="00600315">
        <w:t xml:space="preserve">, </w:t>
      </w:r>
      <w:proofErr w:type="spellStart"/>
      <w:r w:rsidRPr="00600315">
        <w:t>цикламат</w:t>
      </w:r>
      <w:proofErr w:type="spellEnd"/>
      <w:r w:rsidRPr="00600315">
        <w:t xml:space="preserve">, сахарин, </w:t>
      </w:r>
      <w:proofErr w:type="spellStart"/>
      <w:r w:rsidRPr="00600315">
        <w:t>тартразин</w:t>
      </w:r>
      <w:proofErr w:type="spellEnd"/>
      <w:r w:rsidRPr="00600315">
        <w:t xml:space="preserve"> и желтый</w:t>
      </w:r>
      <w:r>
        <w:t xml:space="preserve"> «Солнечный закат», </w:t>
      </w:r>
      <w:r w:rsidRPr="00600315">
        <w:t>методом в</w:t>
      </w:r>
      <w:r w:rsidRPr="00600315">
        <w:t>ы</w:t>
      </w:r>
      <w:r w:rsidRPr="00600315">
        <w:t xml:space="preserve">сокоэффективной жидкостной хроматографии показали, что в исследованных образцах пищевых продуктов наиболее часто встречались </w:t>
      </w:r>
      <w:proofErr w:type="spellStart"/>
      <w:r w:rsidRPr="00600315">
        <w:t>бензоаты</w:t>
      </w:r>
      <w:proofErr w:type="spellEnd"/>
      <w:r w:rsidRPr="00600315">
        <w:t xml:space="preserve"> и </w:t>
      </w:r>
      <w:proofErr w:type="spellStart"/>
      <w:r w:rsidRPr="00600315">
        <w:t>сорбаты</w:t>
      </w:r>
      <w:proofErr w:type="spellEnd"/>
      <w:r w:rsidRPr="00600315">
        <w:t>. Самые выс</w:t>
      </w:r>
      <w:r w:rsidRPr="00600315">
        <w:t>о</w:t>
      </w:r>
      <w:r w:rsidRPr="00600315">
        <w:t>ки</w:t>
      </w:r>
      <w:r>
        <w:t>е</w:t>
      </w:r>
      <w:r w:rsidRPr="00600315">
        <w:t xml:space="preserve"> концентрации данных веществ были обнаружены в желе, безалкогольных напитках, мясном фарше и соусах чили. Заменители сахара наиболее часто встречаются в сушеных фруктах и джеме</w:t>
      </w:r>
      <w:r>
        <w:t xml:space="preserve">; </w:t>
      </w:r>
      <w:r w:rsidRPr="00600315">
        <w:t>в этих двух группах продуктов было высоко</w:t>
      </w:r>
      <w:r>
        <w:t>е</w:t>
      </w:r>
      <w:r w:rsidRPr="00600315">
        <w:t xml:space="preserve"> содержание </w:t>
      </w:r>
      <w:proofErr w:type="spellStart"/>
      <w:r w:rsidRPr="00600315">
        <w:t>цикламата</w:t>
      </w:r>
      <w:proofErr w:type="spellEnd"/>
      <w:r w:rsidRPr="00600315">
        <w:t xml:space="preserve">. Содержание </w:t>
      </w:r>
      <w:r>
        <w:t xml:space="preserve">красителей было намного ниже, </w:t>
      </w:r>
      <w:r w:rsidRPr="00600315">
        <w:t>они были обнаружены в осно</w:t>
      </w:r>
      <w:r w:rsidRPr="00600315">
        <w:t>в</w:t>
      </w:r>
      <w:r w:rsidRPr="00600315">
        <w:t>ном в соусах чили.</w:t>
      </w:r>
    </w:p>
    <w:p w:rsidR="00C92B98" w:rsidRPr="00600315" w:rsidRDefault="00C92B98" w:rsidP="00C92B98">
      <w:pPr>
        <w:pStyle w:val="a7"/>
      </w:pPr>
      <w:r w:rsidRPr="00600315">
        <w:t xml:space="preserve">Результаты оценки риска показали, что наиболее высокие уровни потребления </w:t>
      </w:r>
      <w:proofErr w:type="spellStart"/>
      <w:r w:rsidRPr="00600315">
        <w:t>сорбатов</w:t>
      </w:r>
      <w:proofErr w:type="spellEnd"/>
      <w:r w:rsidRPr="00600315">
        <w:t xml:space="preserve"> и </w:t>
      </w:r>
      <w:proofErr w:type="spellStart"/>
      <w:r w:rsidRPr="00600315">
        <w:t>бензоатов</w:t>
      </w:r>
      <w:proofErr w:type="spellEnd"/>
      <w:r w:rsidRPr="00600315">
        <w:t xml:space="preserve"> были отмечены в группе детей младше 5 лет и составляли 38</w:t>
      </w:r>
      <w:r>
        <w:t xml:space="preserve"> % </w:t>
      </w:r>
      <w:r w:rsidRPr="00600315">
        <w:t xml:space="preserve">от </w:t>
      </w:r>
      <w:r>
        <w:t>дневного допустимого предела (</w:t>
      </w:r>
      <w:r w:rsidRPr="00600315">
        <w:t>ДДП</w:t>
      </w:r>
      <w:r>
        <w:t>).</w:t>
      </w:r>
      <w:r w:rsidRPr="00600315">
        <w:t xml:space="preserve"> Для остальных возрастных групп риск варьировался в пред</w:t>
      </w:r>
      <w:r>
        <w:t xml:space="preserve">елах от 10,6 до 34,0 % ДДП для </w:t>
      </w:r>
      <w:proofErr w:type="spellStart"/>
      <w:r>
        <w:t>б</w:t>
      </w:r>
      <w:r w:rsidRPr="00600315">
        <w:t>ензоатов</w:t>
      </w:r>
      <w:proofErr w:type="spellEnd"/>
      <w:r w:rsidRPr="00600315">
        <w:t xml:space="preserve"> и от 0,56</w:t>
      </w:r>
      <w:r>
        <w:t xml:space="preserve"> </w:t>
      </w:r>
      <w:r w:rsidRPr="00600315">
        <w:t>до 1,8</w:t>
      </w:r>
      <w:r>
        <w:t xml:space="preserve"> % </w:t>
      </w:r>
      <w:r w:rsidRPr="00600315">
        <w:t xml:space="preserve">ДДП </w:t>
      </w:r>
      <w:proofErr w:type="gramStart"/>
      <w:r w:rsidRPr="00600315">
        <w:t>для</w:t>
      </w:r>
      <w:proofErr w:type="gramEnd"/>
      <w:r w:rsidRPr="00600315">
        <w:t xml:space="preserve"> </w:t>
      </w:r>
      <w:proofErr w:type="spellStart"/>
      <w:r w:rsidRPr="00600315">
        <w:t>сорбатов</w:t>
      </w:r>
      <w:proofErr w:type="spellEnd"/>
      <w:r w:rsidRPr="00600315">
        <w:t xml:space="preserve">. Что касается оставшихся </w:t>
      </w:r>
      <w:r>
        <w:t>четырех</w:t>
      </w:r>
      <w:r w:rsidRPr="00600315">
        <w:t xml:space="preserve"> пищевых добавок, их совокупное потребление было значительно н</w:t>
      </w:r>
      <w:r w:rsidRPr="00600315">
        <w:t>и</w:t>
      </w:r>
      <w:r w:rsidRPr="00600315">
        <w:t>же ДДП. Если предположить, что население потре</w:t>
      </w:r>
      <w:r w:rsidRPr="00600315">
        <w:t>б</w:t>
      </w:r>
      <w:r w:rsidRPr="00600315">
        <w:t>ляет продукты из всех групп, то можно сделать вывод, что 0,8</w:t>
      </w:r>
      <w:r>
        <w:t xml:space="preserve"> % </w:t>
      </w:r>
      <w:r w:rsidRPr="00600315">
        <w:t>населения потре</w:t>
      </w:r>
      <w:r w:rsidRPr="00600315">
        <w:t>б</w:t>
      </w:r>
      <w:r w:rsidRPr="00600315">
        <w:t xml:space="preserve">ляют </w:t>
      </w:r>
      <w:proofErr w:type="spellStart"/>
      <w:r w:rsidRPr="00600315">
        <w:t>бензоаты</w:t>
      </w:r>
      <w:proofErr w:type="spellEnd"/>
      <w:r w:rsidRPr="00600315">
        <w:t xml:space="preserve"> в количестве</w:t>
      </w:r>
      <w:r>
        <w:t>,</w:t>
      </w:r>
      <w:r w:rsidRPr="00600315">
        <w:t xml:space="preserve"> превышающем ДДП для данной пищевой добавки.</w:t>
      </w:r>
    </w:p>
    <w:p w:rsidR="00C92B98" w:rsidRDefault="00C92B98" w:rsidP="00C92B98">
      <w:pPr>
        <w:pStyle w:val="a7"/>
      </w:pPr>
      <w:r w:rsidRPr="00C24AB5">
        <w:rPr>
          <w:b/>
        </w:rPr>
        <w:tab/>
        <w:t>Ключевые слова</w:t>
      </w:r>
      <w:r>
        <w:rPr>
          <w:b/>
        </w:rPr>
        <w:t xml:space="preserve">: </w:t>
      </w:r>
      <w:r>
        <w:t>пищевые добавки, продукты питания, жидкостная хроматография, допустимая конце</w:t>
      </w:r>
      <w:r>
        <w:t>н</w:t>
      </w:r>
      <w:r>
        <w:t>трация веществ, заменители сахара, красители, оценка химического риска пищевых продуктов, оценка экспозиции.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r>
        <w:t>СРАВНИТЕЛЬНАЯ ОЦЕНКА ТО</w:t>
      </w:r>
      <w:r>
        <w:t>К</w:t>
      </w:r>
      <w:r>
        <w:t xml:space="preserve">СИЧНОСТИ </w:t>
      </w:r>
      <w:proofErr w:type="gramStart"/>
      <w:r>
        <w:t>ПИЩЕВЫХ</w:t>
      </w:r>
      <w:proofErr w:type="gramEnd"/>
      <w:r>
        <w:t xml:space="preserve"> </w:t>
      </w:r>
      <w:r>
        <w:br/>
        <w:t>ПО</w:t>
      </w:r>
      <w:r>
        <w:t>Д</w:t>
      </w:r>
      <w:r>
        <w:t>СЛАСТИТЕЛЕЙ В ЭКСПРЕСС-БИОТЕСТЕ</w:t>
      </w:r>
    </w:p>
    <w:p w:rsidR="00C92B98" w:rsidRDefault="00C92B98" w:rsidP="00C92B98">
      <w:pPr>
        <w:pStyle w:val="2"/>
      </w:pPr>
      <w:r>
        <w:t>А.В. Самойлов</w:t>
      </w:r>
      <w:r>
        <w:rPr>
          <w:vertAlign w:val="superscript"/>
        </w:rPr>
        <w:t>1</w:t>
      </w:r>
      <w:r>
        <w:t>, Н.М. Сураева</w:t>
      </w:r>
      <w:r>
        <w:rPr>
          <w:vertAlign w:val="superscript"/>
        </w:rPr>
        <w:t>1</w:t>
      </w:r>
      <w:r>
        <w:t>, М.В. Зайцева</w:t>
      </w:r>
      <w:r>
        <w:rPr>
          <w:vertAlign w:val="superscript"/>
        </w:rPr>
        <w:t>1,2</w:t>
      </w:r>
      <w:r>
        <w:t>, М.Н. Курбанова</w:t>
      </w:r>
      <w:r>
        <w:rPr>
          <w:vertAlign w:val="superscript"/>
        </w:rPr>
        <w:t>1</w:t>
      </w:r>
      <w:r>
        <w:t>, В.В. Столбова</w:t>
      </w:r>
      <w:r>
        <w:rPr>
          <w:vertAlign w:val="superscript"/>
        </w:rPr>
        <w:t>2</w:t>
      </w:r>
    </w:p>
    <w:p w:rsidR="00C92B98" w:rsidRDefault="00C92B98" w:rsidP="00C92B98">
      <w:pPr>
        <w:pStyle w:val="3"/>
      </w:pPr>
      <w:r>
        <w:rPr>
          <w:vertAlign w:val="superscript"/>
        </w:rPr>
        <w:t xml:space="preserve">1 </w:t>
      </w:r>
      <w:r>
        <w:t>Федеральный научный центр пищевых систем им. В.М. Горбатова, Россия, 142703, г. Видное, ул. Школьная, 78</w:t>
      </w:r>
      <w:r>
        <w:br/>
      </w:r>
      <w:r>
        <w:rPr>
          <w:vertAlign w:val="superscript"/>
        </w:rPr>
        <w:t xml:space="preserve">2 </w:t>
      </w:r>
      <w:r>
        <w:t>Московский государственный университет имени М.В. Ломоносова, Россия, 119991, Москва, Ленинские горы, 1, стр. 12</w:t>
      </w:r>
    </w:p>
    <w:p w:rsidR="00C92B98" w:rsidRPr="004967C4" w:rsidRDefault="00C92B98" w:rsidP="00C92B98">
      <w:pPr>
        <w:pStyle w:val="a6"/>
        <w:rPr>
          <w:sz w:val="16"/>
          <w:szCs w:val="16"/>
        </w:rPr>
      </w:pPr>
    </w:p>
    <w:p w:rsidR="00C92B98" w:rsidRPr="004967C4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Default="00C92B98" w:rsidP="00C92B98">
      <w:pPr>
        <w:pStyle w:val="a7"/>
        <w:spacing w:line="233" w:lineRule="auto"/>
        <w:rPr>
          <w:kern w:val="2"/>
        </w:rPr>
      </w:pPr>
      <w:r>
        <w:rPr>
          <w:shd w:val="clear" w:color="auto" w:fill="FFFFFF"/>
        </w:rPr>
        <w:t>В связи с увеличивающимся объемом производства и потребления населением различных пищевых добавок существенно возрастает риск их токсического воздействия. Часто эти добавки встречаются в различных сочетан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 xml:space="preserve">ях друг с другом в продуктах питания и окружающей среде, употребляются продолжительное время и могут стать причиной </w:t>
      </w:r>
      <w:r>
        <w:t>проявления особо опасных мутагенных и канцерогенных эффектов</w:t>
      </w:r>
      <w:r>
        <w:rPr>
          <w:shd w:val="clear" w:color="auto" w:fill="FFFFFF"/>
        </w:rPr>
        <w:t>. Поэтому о</w:t>
      </w:r>
      <w:r>
        <w:t>ценка комбинир</w:t>
      </w:r>
      <w:r>
        <w:t>о</w:t>
      </w:r>
      <w:r>
        <w:t>ванного действия пищевых добавок остается важнейшей проблемой их безопасности. Определенными преимущ</w:t>
      </w:r>
      <w:r>
        <w:t>е</w:t>
      </w:r>
      <w:r>
        <w:t>ствами для скрининга токсических и мутагенных эффектов химических соединений обладают растительные тест-системы и использ</w:t>
      </w:r>
      <w:r>
        <w:t>о</w:t>
      </w:r>
      <w:r>
        <w:t>вание вариантов цитогенетического анализа данных биотестирования. При этом о</w:t>
      </w:r>
      <w:r>
        <w:rPr>
          <w:shd w:val="clear" w:color="auto" w:fill="FFFFFF"/>
        </w:rPr>
        <w:t xml:space="preserve">собое место среди них продолжает занимать </w:t>
      </w:r>
      <w:r>
        <w:rPr>
          <w:shd w:val="clear" w:color="auto" w:fill="FFFFFF"/>
          <w:lang w:val="en-US"/>
        </w:rPr>
        <w:t>Allium</w:t>
      </w:r>
      <w:r>
        <w:rPr>
          <w:shd w:val="clear" w:color="auto" w:fill="FFFFFF"/>
        </w:rPr>
        <w:t xml:space="preserve">-тест, в котором в качестве </w:t>
      </w:r>
      <w:proofErr w:type="gramStart"/>
      <w:r>
        <w:rPr>
          <w:shd w:val="clear" w:color="auto" w:fill="FFFFFF"/>
        </w:rPr>
        <w:t>т</w:t>
      </w:r>
      <w:r>
        <w:t>ест-объекта</w:t>
      </w:r>
      <w:proofErr w:type="gramEnd"/>
      <w:r>
        <w:t xml:space="preserve"> используются корни лука репчатого </w:t>
      </w:r>
      <w:r>
        <w:rPr>
          <w:lang w:val="en-US"/>
        </w:rPr>
        <w:t>Allium</w:t>
      </w:r>
      <w:r w:rsidRPr="005E5221">
        <w:t xml:space="preserve"> </w:t>
      </w:r>
      <w:proofErr w:type="spellStart"/>
      <w:r>
        <w:rPr>
          <w:lang w:val="en-US"/>
        </w:rPr>
        <w:t>cepa</w:t>
      </w:r>
      <w:proofErr w:type="spellEnd"/>
      <w:r>
        <w:t>. При сравнении с другими тестами с использованием живо</w:t>
      </w:r>
      <w:r>
        <w:t>т</w:t>
      </w:r>
      <w:r>
        <w:t xml:space="preserve">ных и различных культур клеток этот </w:t>
      </w:r>
      <w:r>
        <w:rPr>
          <w:shd w:val="clear" w:color="auto" w:fill="FFFFFF"/>
        </w:rPr>
        <w:t xml:space="preserve">тест оказывался менее сложным и затратным в исполнении и более </w:t>
      </w:r>
      <w:r>
        <w:t>чувствительным.</w:t>
      </w:r>
    </w:p>
    <w:p w:rsidR="00C92B98" w:rsidRDefault="00C92B98" w:rsidP="00C92B98">
      <w:pPr>
        <w:pStyle w:val="a7"/>
        <w:spacing w:line="233" w:lineRule="auto"/>
      </w:pPr>
      <w:r>
        <w:rPr>
          <w:kern w:val="2"/>
        </w:rPr>
        <w:t>Целью</w:t>
      </w:r>
      <w:r>
        <w:rPr>
          <w:shd w:val="clear" w:color="auto" w:fill="FFFFFF"/>
        </w:rPr>
        <w:t xml:space="preserve"> настоящей </w:t>
      </w:r>
      <w:r>
        <w:rPr>
          <w:kern w:val="2"/>
        </w:rPr>
        <w:t>работы было и</w:t>
      </w:r>
      <w:r>
        <w:rPr>
          <w:shd w:val="clear" w:color="auto" w:fill="FFFFFF"/>
        </w:rPr>
        <w:t xml:space="preserve">сследование влияния синтетических сахарозаменителей аспартама и </w:t>
      </w:r>
      <w:proofErr w:type="spellStart"/>
      <w:r>
        <w:rPr>
          <w:shd w:val="clear" w:color="auto" w:fill="FFFFFF"/>
        </w:rPr>
        <w:t>сукр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лозы</w:t>
      </w:r>
      <w:proofErr w:type="spellEnd"/>
      <w:r>
        <w:rPr>
          <w:shd w:val="clear" w:color="auto" w:fill="FFFFFF"/>
        </w:rPr>
        <w:t xml:space="preserve"> на</w:t>
      </w:r>
      <w:r>
        <w:t xml:space="preserve"> прирост биомассы и частоту митотических аномалий в клетках апикальной меристемы корней лука репчатого </w:t>
      </w:r>
      <w:r>
        <w:rPr>
          <w:shd w:val="clear" w:color="auto" w:fill="FFFFFF"/>
          <w:lang w:val="en-US"/>
        </w:rPr>
        <w:t>A</w:t>
      </w:r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  <w:lang w:val="en-US"/>
        </w:rPr>
        <w:t>cepa</w:t>
      </w:r>
      <w:proofErr w:type="spellEnd"/>
      <w:r>
        <w:rPr>
          <w:shd w:val="clear" w:color="auto" w:fill="FFFFFF"/>
        </w:rPr>
        <w:t>. Оценивался также синергетический эффект при совместном воздействии этих химических соед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нений. Выявлено, что аспартам значительно снижал массу корней по сравнению с контролем, тогда как в отнош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 xml:space="preserve">нии </w:t>
      </w:r>
      <w:proofErr w:type="spellStart"/>
      <w:r>
        <w:rPr>
          <w:lang w:eastAsia="ru-RU"/>
        </w:rPr>
        <w:t>сукралозы</w:t>
      </w:r>
      <w:proofErr w:type="spellEnd"/>
      <w:r>
        <w:rPr>
          <w:lang w:eastAsia="ru-RU"/>
        </w:rPr>
        <w:t xml:space="preserve"> не было зафиксировано токсического эффекта. Максимальная токсичность была зарегистрирована при совместной обработке тест-системы подсластителями, что оценено как результат синергетического э</w:t>
      </w:r>
      <w:r>
        <w:rPr>
          <w:lang w:eastAsia="ru-RU"/>
        </w:rPr>
        <w:t>ф</w:t>
      </w:r>
      <w:r>
        <w:rPr>
          <w:lang w:eastAsia="ru-RU"/>
        </w:rPr>
        <w:t xml:space="preserve">фекта. Частота хромосомных аберраций в опытных образцах незначимо отличалась от таковой в контроле, но были отмечены достоверные изменения </w:t>
      </w:r>
      <w:r>
        <w:rPr>
          <w:shd w:val="clear" w:color="auto" w:fill="FFFFFF"/>
        </w:rPr>
        <w:t>в спектре хромосомных аномалий клеток корневой меристемы. Преобл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 xml:space="preserve">дающим типом нарушений были </w:t>
      </w:r>
      <w:r>
        <w:t>нарушения процесса расхождения хромосом и аномалии митотического аппарата.</w:t>
      </w:r>
    </w:p>
    <w:p w:rsidR="00C92B98" w:rsidRDefault="00C92B98" w:rsidP="00C92B98">
      <w:pPr>
        <w:pStyle w:val="a7"/>
        <w:spacing w:line="233" w:lineRule="auto"/>
      </w:pPr>
      <w:r>
        <w:rPr>
          <w:b/>
        </w:rPr>
        <w:t xml:space="preserve">Ключевые слова: </w:t>
      </w:r>
      <w:proofErr w:type="spellStart"/>
      <w:r>
        <w:t>сукралоза</w:t>
      </w:r>
      <w:proofErr w:type="spellEnd"/>
      <w:r>
        <w:t xml:space="preserve">, аспартам, </w:t>
      </w:r>
      <w:r>
        <w:rPr>
          <w:lang w:val="en-US"/>
        </w:rPr>
        <w:t>Allium</w:t>
      </w:r>
      <w:r w:rsidRPr="005E5221">
        <w:t xml:space="preserve"> </w:t>
      </w:r>
      <w:proofErr w:type="spellStart"/>
      <w:r>
        <w:rPr>
          <w:lang w:val="en-US"/>
        </w:rPr>
        <w:t>cepa</w:t>
      </w:r>
      <w:proofErr w:type="spellEnd"/>
      <w:r>
        <w:t>, биотестирование, цитогенетический анализ, токсичность, хромосомные аберрации, аномалии митот</w:t>
      </w:r>
      <w:r>
        <w:t>и</w:t>
      </w:r>
      <w:r>
        <w:t>ческого аппарата.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r>
        <w:lastRenderedPageBreak/>
        <w:t xml:space="preserve">ОЦЕНКА СВЯЗИ РАЗНОРОДНЫХ ФАКТОРОВ РИСКА </w:t>
      </w:r>
      <w:r>
        <w:br/>
        <w:t>И ЗАБОЛЕВАЕМОСТИ РАБОТАЮЩЕГО НАСЕЛЕНИЯ РЕГИОНОВ РОССИИ С РАЗЛИЧНЫМ ФОНОМ ФОРМИРОВАНИЯ ЗДОРОВЬЯ</w:t>
      </w:r>
    </w:p>
    <w:p w:rsidR="00C92B98" w:rsidRDefault="00C92B98" w:rsidP="00C92B98">
      <w:pPr>
        <w:pStyle w:val="2"/>
      </w:pPr>
      <w:r>
        <w:t>Н.А. Лебедева-Несевря</w:t>
      </w:r>
      <w:r>
        <w:rPr>
          <w:vertAlign w:val="superscript"/>
        </w:rPr>
        <w:t>1</w:t>
      </w:r>
      <w:r>
        <w:t>, А.О. Барг</w:t>
      </w:r>
      <w:r>
        <w:rPr>
          <w:vertAlign w:val="superscript"/>
        </w:rPr>
        <w:t>1</w:t>
      </w:r>
      <w:r>
        <w:t>, М.Ю. Цинкер</w:t>
      </w:r>
      <w:r>
        <w:rPr>
          <w:vertAlign w:val="superscript"/>
        </w:rPr>
        <w:t>2</w:t>
      </w:r>
      <w:r>
        <w:t>, В.Г. Костарев</w:t>
      </w:r>
      <w:r>
        <w:rPr>
          <w:vertAlign w:val="superscript"/>
        </w:rPr>
        <w:t>3</w:t>
      </w:r>
    </w:p>
    <w:p w:rsidR="00C92B98" w:rsidRDefault="00C92B98" w:rsidP="00C92B98">
      <w:pPr>
        <w:pStyle w:val="3"/>
        <w:rPr>
          <w:b/>
          <w:caps/>
        </w:rPr>
      </w:pPr>
      <w:proofErr w:type="gramStart"/>
      <w:r w:rsidRPr="004F6432">
        <w:rPr>
          <w:spacing w:val="-2"/>
          <w:vertAlign w:val="superscript"/>
        </w:rPr>
        <w:t>1</w:t>
      </w:r>
      <w:r w:rsidRPr="004F6432">
        <w:rPr>
          <w:spacing w:val="-2"/>
          <w:shd w:val="clear" w:color="auto" w:fill="FFFFFF"/>
        </w:rPr>
        <w:t xml:space="preserve">Пермский государственный национальный исследовательский университет, </w:t>
      </w:r>
      <w:r>
        <w:t xml:space="preserve">Россия, </w:t>
      </w:r>
      <w:r w:rsidRPr="004F6432">
        <w:rPr>
          <w:spacing w:val="-2"/>
          <w:shd w:val="clear" w:color="auto" w:fill="FFFFFF"/>
        </w:rPr>
        <w:t xml:space="preserve">614990, </w:t>
      </w:r>
      <w:r>
        <w:rPr>
          <w:spacing w:val="-2"/>
          <w:shd w:val="clear" w:color="auto" w:fill="FFFFFF"/>
        </w:rPr>
        <w:t xml:space="preserve">г. </w:t>
      </w:r>
      <w:r w:rsidRPr="004F6432">
        <w:rPr>
          <w:spacing w:val="-2"/>
          <w:shd w:val="clear" w:color="auto" w:fill="FFFFFF"/>
        </w:rPr>
        <w:t>Пермь, ул.</w:t>
      </w:r>
      <w:r>
        <w:rPr>
          <w:spacing w:val="-2"/>
          <w:shd w:val="clear" w:color="auto" w:fill="FFFFFF"/>
        </w:rPr>
        <w:t> </w:t>
      </w:r>
      <w:r w:rsidRPr="004F6432">
        <w:rPr>
          <w:spacing w:val="-2"/>
          <w:shd w:val="clear" w:color="auto" w:fill="FFFFFF"/>
        </w:rPr>
        <w:t>Букирева, 15</w:t>
      </w:r>
      <w:r>
        <w:rPr>
          <w:spacing w:val="-2"/>
          <w:shd w:val="clear" w:color="auto" w:fill="FFFFFF"/>
        </w:rPr>
        <w:br/>
      </w:r>
      <w:r>
        <w:rPr>
          <w:vertAlign w:val="superscript"/>
        </w:rPr>
        <w:t>2</w:t>
      </w:r>
      <w:r>
        <w:t>Федеральный научный центр медико-профилактических технологий управления рисками здоровью населения, Россия, 614045, г. Пермь, ул. Монасты</w:t>
      </w:r>
      <w:r>
        <w:t>р</w:t>
      </w:r>
      <w:r>
        <w:t>ская, 82</w:t>
      </w:r>
      <w:r>
        <w:br/>
      </w:r>
      <w:r>
        <w:rPr>
          <w:vertAlign w:val="superscript"/>
        </w:rPr>
        <w:t>3</w:t>
      </w:r>
      <w:r>
        <w:t>Управление Федеральной службы по надзору в сфере защиты прав потреб</w:t>
      </w:r>
      <w:r>
        <w:t>и</w:t>
      </w:r>
      <w:r>
        <w:t>телей и благополучия человека по Пермскому краю, Россия, 614016, г. Пермь, ул. Куйбышева, 50</w:t>
      </w:r>
      <w:proofErr w:type="gramEnd"/>
    </w:p>
    <w:p w:rsidR="00C92B98" w:rsidRPr="00C92B98" w:rsidRDefault="00C92B98" w:rsidP="00C92B98">
      <w:pPr>
        <w:pStyle w:val="a6"/>
        <w:rPr>
          <w:sz w:val="16"/>
          <w:szCs w:val="16"/>
        </w:rPr>
      </w:pPr>
    </w:p>
    <w:p w:rsidR="00C92B98" w:rsidRPr="00C92B98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C843A5" w:rsidRDefault="00C92B98" w:rsidP="00C92B98">
      <w:pPr>
        <w:pStyle w:val="a7"/>
        <w:rPr>
          <w:spacing w:val="-2"/>
        </w:rPr>
      </w:pPr>
      <w:r w:rsidRPr="00C843A5">
        <w:rPr>
          <w:spacing w:val="-2"/>
        </w:rPr>
        <w:t>Исследование посвящено классификации регионов России по уровню санитарно-гигиенического и социально-экономического благополучия, а также оценке (для отдельных классов) связей разнородных факторов и показателей заболеваемости с временной утратой трудоспособности работающего населения. Классификация субъектов РФ (мет</w:t>
      </w:r>
      <w:r w:rsidRPr="00C843A5">
        <w:rPr>
          <w:spacing w:val="-2"/>
        </w:rPr>
        <w:t>о</w:t>
      </w:r>
      <w:r w:rsidRPr="00C843A5">
        <w:rPr>
          <w:spacing w:val="-2"/>
        </w:rPr>
        <w:t xml:space="preserve">дом </w:t>
      </w:r>
      <w:r w:rsidRPr="00C843A5">
        <w:rPr>
          <w:spacing w:val="-2"/>
          <w:lang w:val="en-US"/>
        </w:rPr>
        <w:t>k</w:t>
      </w:r>
      <w:r w:rsidRPr="00C843A5">
        <w:rPr>
          <w:spacing w:val="-2"/>
        </w:rPr>
        <w:t>-средних кластерного анализа) по уровню санитарно-гигиенического и социально-экономического благополучия ре</w:t>
      </w:r>
      <w:r w:rsidRPr="00C843A5">
        <w:rPr>
          <w:spacing w:val="-2"/>
        </w:rPr>
        <w:t>а</w:t>
      </w:r>
      <w:r w:rsidRPr="00C843A5">
        <w:rPr>
          <w:spacing w:val="-2"/>
        </w:rPr>
        <w:t xml:space="preserve">лизовывалась с целью выделения территорий со схожим «фоном» формирования здоровья работающего населения. </w:t>
      </w:r>
      <w:r>
        <w:rPr>
          <w:spacing w:val="-2"/>
        </w:rPr>
        <w:br/>
      </w:r>
      <w:r w:rsidRPr="00C843A5">
        <w:rPr>
          <w:spacing w:val="-2"/>
        </w:rPr>
        <w:t>Э</w:t>
      </w:r>
      <w:r w:rsidRPr="00C843A5">
        <w:rPr>
          <w:spacing w:val="-2"/>
        </w:rPr>
        <w:t>м</w:t>
      </w:r>
      <w:r w:rsidRPr="00C843A5">
        <w:rPr>
          <w:spacing w:val="-2"/>
        </w:rPr>
        <w:t>пирической базой выступили данные Федеральной службы государственной статистики (по субъектам РФ) за 2016 г.</w:t>
      </w:r>
    </w:p>
    <w:p w:rsidR="00C92B98" w:rsidRDefault="00C92B98" w:rsidP="00C92B98">
      <w:pPr>
        <w:pStyle w:val="a7"/>
        <w:rPr>
          <w:lang w:eastAsia="ru-RU"/>
        </w:rPr>
      </w:pPr>
      <w:r>
        <w:t xml:space="preserve">По итогам кластерного анализа определено четыре класса субъектов РФ: «неблагополучный», «умеренно неблагополучный», «умеренно благополучный» и «благополучный» (полученные данные визуализированы на карте регионов России). </w:t>
      </w:r>
      <w:r>
        <w:rPr>
          <w:lang w:eastAsia="ru-RU"/>
        </w:rPr>
        <w:t>Проведенный корреляционно-регрессионный анализ позволил получить несколько десятков достове</w:t>
      </w:r>
      <w:r>
        <w:rPr>
          <w:lang w:eastAsia="ru-RU"/>
        </w:rPr>
        <w:t>р</w:t>
      </w:r>
      <w:r>
        <w:rPr>
          <w:lang w:eastAsia="ru-RU"/>
        </w:rPr>
        <w:t xml:space="preserve">ных моделей, </w:t>
      </w:r>
      <w:r>
        <w:t>описывающих связи разнородных факторов и показателей заболеваемости с временной утратой тр</w:t>
      </w:r>
      <w:r>
        <w:t>у</w:t>
      </w:r>
      <w:r>
        <w:t xml:space="preserve">доспособности работающего населения. Для каждой модели рассчитывался показатель детерминации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>, характеризующий долю объясненной в</w:t>
      </w:r>
      <w:r>
        <w:t>а</w:t>
      </w:r>
      <w:r>
        <w:t xml:space="preserve">риации показателя </w:t>
      </w:r>
      <w:proofErr w:type="gramStart"/>
      <w:r>
        <w:t>здоровья</w:t>
      </w:r>
      <w:proofErr w:type="gramEnd"/>
      <w:r>
        <w:t xml:space="preserve"> за счет рассматриваемого в модели фактора. </w:t>
      </w:r>
      <w:proofErr w:type="gramStart"/>
      <w:r>
        <w:rPr>
          <w:lang w:eastAsia="ru-RU"/>
        </w:rPr>
        <w:t>Особое внимание уделялось первому кластеру, имеющему наименее благополучный фон формирования здоровья (для него определено ярко выраженное влияние социально-экономических факторов на показатели здоровья работающ</w:t>
      </w:r>
      <w:r>
        <w:rPr>
          <w:lang w:eastAsia="ru-RU"/>
        </w:rPr>
        <w:t>е</w:t>
      </w:r>
      <w:r>
        <w:rPr>
          <w:lang w:eastAsia="ru-RU"/>
        </w:rPr>
        <w:t>го населения, взятые для анализа), а также второму кластеру, характеризующемуся наиболее высоким уровнем заболеваемости работающих граждан (выявлено, что санитарно-гигиеническое благополучие территорий этого класса имеет больший вес для формирования рассматриваемых показателей здоровья, нежели социально-экономическое).</w:t>
      </w:r>
      <w:proofErr w:type="gramEnd"/>
      <w:r>
        <w:rPr>
          <w:lang w:eastAsia="ru-RU"/>
        </w:rPr>
        <w:t xml:space="preserve"> Материалы работы можно использовать при составлении федеральных и региональных программ, направленных на сохранение и укрепление здоровья работающего населения.</w:t>
      </w:r>
    </w:p>
    <w:p w:rsidR="00C92B98" w:rsidRDefault="00C92B98" w:rsidP="00C92B98">
      <w:pPr>
        <w:pStyle w:val="a7"/>
      </w:pPr>
      <w:r>
        <w:rPr>
          <w:b/>
        </w:rPr>
        <w:t xml:space="preserve">Ключевые слова: </w:t>
      </w:r>
      <w:r>
        <w:t>работающее население,</w:t>
      </w:r>
      <w:r>
        <w:rPr>
          <w:lang w:eastAsia="ru-RU"/>
        </w:rPr>
        <w:t xml:space="preserve"> </w:t>
      </w:r>
      <w:proofErr w:type="spellStart"/>
      <w:r>
        <w:t>кластерний</w:t>
      </w:r>
      <w:proofErr w:type="spellEnd"/>
      <w:r>
        <w:t xml:space="preserve"> анализ, </w:t>
      </w:r>
      <w:r>
        <w:rPr>
          <w:lang w:eastAsia="ru-RU"/>
        </w:rPr>
        <w:t>корреляционно-регрессионный анализ,</w:t>
      </w:r>
      <w:r>
        <w:t xml:space="preserve"> заболеваемость с временной утратой трудоспособности, разн</w:t>
      </w:r>
      <w:r>
        <w:t>о</w:t>
      </w:r>
      <w:r>
        <w:t>родные факторы риска здоровью.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</w:p>
    <w:p w:rsidR="00C92B98" w:rsidRDefault="00C92B98" w:rsidP="00C92B98">
      <w:pPr>
        <w:pStyle w:val="1"/>
      </w:pPr>
      <w:r>
        <w:t xml:space="preserve">ПРОФЕССИОНАЛЬНАЯ ПАТОЛОГИЯ ПРИ ПОДЗЕМНОЙ И ОТКРЫТОЙ </w:t>
      </w:r>
      <w:r>
        <w:br/>
        <w:t>Д</w:t>
      </w:r>
      <w:r>
        <w:t>О</w:t>
      </w:r>
      <w:r>
        <w:t>БЫЧЕ АПАТИТОВЫХ РУД В КОЛЬСКОМ ЗАПОЛЯРЬЕ</w:t>
      </w:r>
    </w:p>
    <w:p w:rsidR="00C92B98" w:rsidRDefault="00C92B98" w:rsidP="00C92B98">
      <w:pPr>
        <w:pStyle w:val="2"/>
      </w:pPr>
      <w:r>
        <w:t>С.А. Сюрин, С.А. Горбанев</w:t>
      </w:r>
    </w:p>
    <w:p w:rsidR="00C92B98" w:rsidRPr="00B56C35" w:rsidRDefault="00C92B98" w:rsidP="00C92B98">
      <w:pPr>
        <w:pStyle w:val="3"/>
        <w:rPr>
          <w:spacing w:val="2"/>
          <w:szCs w:val="20"/>
        </w:rPr>
      </w:pPr>
      <w:r w:rsidRPr="0041699D">
        <w:rPr>
          <w:spacing w:val="2"/>
          <w:szCs w:val="20"/>
        </w:rPr>
        <w:t xml:space="preserve">Северо-Западный научный центр гигиены и общественного здоровья, Россия, 191036, Санкт-Петербург, </w:t>
      </w:r>
      <w:r w:rsidRPr="0041699D">
        <w:rPr>
          <w:rStyle w:val="lrzxr"/>
          <w:spacing w:val="2"/>
          <w:szCs w:val="20"/>
        </w:rPr>
        <w:t>2-я Советская ул., 4</w:t>
      </w:r>
    </w:p>
    <w:p w:rsidR="00C92B98" w:rsidRPr="00602893" w:rsidRDefault="00C92B98" w:rsidP="00C92B98">
      <w:pPr>
        <w:pStyle w:val="a6"/>
        <w:rPr>
          <w:color w:val="0000FF"/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  <w:color w:val="0000FF"/>
        </w:rPr>
      </w:pPr>
    </w:p>
    <w:p w:rsidR="00C92B98" w:rsidRPr="0041699D" w:rsidRDefault="00C92B98" w:rsidP="00C92B98">
      <w:pPr>
        <w:pStyle w:val="a7"/>
        <w:rPr>
          <w:spacing w:val="4"/>
          <w:szCs w:val="18"/>
        </w:rPr>
      </w:pPr>
      <w:r w:rsidRPr="0041699D">
        <w:rPr>
          <w:spacing w:val="4"/>
          <w:szCs w:val="18"/>
        </w:rPr>
        <w:t>Несмотря на совершенствование технологий добычи руды, большинство горняков апатитовых рудников в</w:t>
      </w:r>
      <w:r>
        <w:rPr>
          <w:spacing w:val="4"/>
          <w:szCs w:val="18"/>
        </w:rPr>
        <w:t> </w:t>
      </w:r>
      <w:r w:rsidRPr="0041699D">
        <w:rPr>
          <w:spacing w:val="4"/>
          <w:szCs w:val="18"/>
        </w:rPr>
        <w:t>Кольском Заполярье входят в группу повышенного риска развития профессиональных заболеваний (ПЗ). Цель исследования заключалась в изучении особенностей формирования ПЗ у горняков, осуществляющих добычу апатитовой руды подземным и о</w:t>
      </w:r>
      <w:r w:rsidRPr="0041699D">
        <w:rPr>
          <w:spacing w:val="4"/>
          <w:szCs w:val="18"/>
        </w:rPr>
        <w:t>т</w:t>
      </w:r>
      <w:r w:rsidRPr="0041699D">
        <w:rPr>
          <w:spacing w:val="4"/>
          <w:szCs w:val="18"/>
        </w:rPr>
        <w:t xml:space="preserve">крытым способами. Изучены данные социально-гигиенического мониторинга </w:t>
      </w:r>
      <w:r w:rsidRPr="0041699D">
        <w:rPr>
          <w:szCs w:val="18"/>
        </w:rPr>
        <w:t>по разделу «Усл</w:t>
      </w:r>
      <w:r w:rsidRPr="0041699D">
        <w:rPr>
          <w:szCs w:val="18"/>
        </w:rPr>
        <w:t>о</w:t>
      </w:r>
      <w:r w:rsidRPr="0041699D">
        <w:rPr>
          <w:szCs w:val="18"/>
        </w:rPr>
        <w:t>вия труда и профессиональная заболеваемость» населения Мурманской области с 2007 по 2017</w:t>
      </w:r>
      <w:r w:rsidRPr="0041699D">
        <w:rPr>
          <w:spacing w:val="4"/>
          <w:szCs w:val="18"/>
        </w:rPr>
        <w:t xml:space="preserve"> г. (470 больных ПЗ и 749 случаев ПЗ). Установлено, что при подземном способе добычи руды ПЗ (прежде всего б</w:t>
      </w:r>
      <w:r w:rsidRPr="0041699D">
        <w:rPr>
          <w:spacing w:val="4"/>
          <w:szCs w:val="18"/>
        </w:rPr>
        <w:t>о</w:t>
      </w:r>
      <w:r w:rsidRPr="0041699D">
        <w:rPr>
          <w:spacing w:val="4"/>
          <w:szCs w:val="18"/>
        </w:rPr>
        <w:t>лезни костно-мышечной системы) возникают в более раннем возрасте и при меньшей продолжительности ст</w:t>
      </w:r>
      <w:r w:rsidRPr="0041699D">
        <w:rPr>
          <w:spacing w:val="4"/>
          <w:szCs w:val="18"/>
        </w:rPr>
        <w:t>а</w:t>
      </w:r>
      <w:r w:rsidRPr="0041699D">
        <w:rPr>
          <w:spacing w:val="4"/>
          <w:szCs w:val="18"/>
        </w:rPr>
        <w:t>жа вследствие повышенной тяжести труда (59,6 %). При открытой добыче руды основными этиологическими факторами являются тяжесть труда и общая вибрация, а в структуре ПЗ характерны высокие доли болезней костно-мышечной системы (32,7 %) и вибрационной болезни (31,8 %). Число ПЗ у одного подземного горняка б</w:t>
      </w:r>
      <w:r w:rsidRPr="0041699D">
        <w:rPr>
          <w:spacing w:val="4"/>
          <w:szCs w:val="18"/>
        </w:rPr>
        <w:t>ы</w:t>
      </w:r>
      <w:r w:rsidRPr="0041699D">
        <w:rPr>
          <w:szCs w:val="18"/>
        </w:rPr>
        <w:t xml:space="preserve">ло выше, чем у одного работника открытого рудника (1,68 ± 0,07 и 1,49 ± 0,5 соответственно, </w:t>
      </w:r>
      <w:r w:rsidRPr="0041699D">
        <w:rPr>
          <w:szCs w:val="18"/>
          <w:lang w:val="en-US"/>
        </w:rPr>
        <w:t>p</w:t>
      </w:r>
      <w:r w:rsidRPr="0041699D">
        <w:rPr>
          <w:szCs w:val="18"/>
        </w:rPr>
        <w:t> &lt; 0,02). У гор</w:t>
      </w:r>
      <w:r w:rsidRPr="0041699D">
        <w:rPr>
          <w:spacing w:val="4"/>
          <w:szCs w:val="18"/>
        </w:rPr>
        <w:t>н</w:t>
      </w:r>
      <w:r w:rsidRPr="0041699D">
        <w:rPr>
          <w:spacing w:val="4"/>
          <w:szCs w:val="18"/>
        </w:rPr>
        <w:t>я</w:t>
      </w:r>
      <w:r w:rsidRPr="0041699D">
        <w:rPr>
          <w:spacing w:val="4"/>
          <w:szCs w:val="18"/>
        </w:rPr>
        <w:t>ков подземных рудников отмечается повышенный риск развития деформирующего артроза (</w:t>
      </w:r>
      <w:proofErr w:type="gramStart"/>
      <w:r w:rsidRPr="0041699D">
        <w:rPr>
          <w:spacing w:val="4"/>
          <w:szCs w:val="18"/>
          <w:lang w:val="en-US"/>
        </w:rPr>
        <w:t>O</w:t>
      </w:r>
      <w:proofErr w:type="gramEnd"/>
      <w:r w:rsidRPr="0041699D">
        <w:rPr>
          <w:spacing w:val="4"/>
          <w:szCs w:val="18"/>
        </w:rPr>
        <w:t>Р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spacing w:val="4"/>
          <w:szCs w:val="18"/>
        </w:rPr>
        <w:t>6,88; 95%-</w:t>
      </w:r>
      <w:proofErr w:type="spellStart"/>
      <w:r w:rsidRPr="0041699D">
        <w:rPr>
          <w:spacing w:val="4"/>
          <w:szCs w:val="18"/>
        </w:rPr>
        <w:t>ный</w:t>
      </w:r>
      <w:proofErr w:type="spellEnd"/>
      <w:r w:rsidRPr="0041699D">
        <w:rPr>
          <w:spacing w:val="4"/>
          <w:szCs w:val="18"/>
        </w:rPr>
        <w:t xml:space="preserve"> ДИ 3,21–14,74; </w:t>
      </w:r>
      <w:proofErr w:type="spellStart"/>
      <w:r w:rsidRPr="0041699D">
        <w:rPr>
          <w:spacing w:val="4"/>
          <w:szCs w:val="18"/>
        </w:rPr>
        <w:t>χ</w:t>
      </w:r>
      <w:r w:rsidRPr="0041699D">
        <w:rPr>
          <w:spacing w:val="4"/>
          <w:szCs w:val="18"/>
          <w:vertAlign w:val="superscript"/>
        </w:rPr>
        <w:t>2</w:t>
      </w:r>
      <w:proofErr w:type="spellEnd"/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 xml:space="preserve">35,7; </w:t>
      </w:r>
      <w:r w:rsidRPr="0041699D">
        <w:rPr>
          <w:rStyle w:val="longtext1"/>
          <w:rFonts w:eastAsia="Calibri"/>
          <w:spacing w:val="4"/>
          <w:szCs w:val="18"/>
          <w:lang w:val="en-US"/>
        </w:rPr>
        <w:t>p</w:t>
      </w:r>
      <w:r>
        <w:rPr>
          <w:rStyle w:val="longtext1"/>
          <w:rFonts w:eastAsia="Calibri"/>
          <w:i w:val="0"/>
          <w:spacing w:val="4"/>
          <w:szCs w:val="18"/>
        </w:rPr>
        <w:t> </w:t>
      </w:r>
      <w:r w:rsidRPr="0041699D">
        <w:rPr>
          <w:rStyle w:val="longtext1"/>
          <w:rFonts w:eastAsia="Calibri"/>
          <w:i w:val="0"/>
          <w:spacing w:val="4"/>
          <w:szCs w:val="18"/>
        </w:rPr>
        <w:t>&lt;</w:t>
      </w:r>
      <w:r>
        <w:rPr>
          <w:rStyle w:val="longtext1"/>
          <w:rFonts w:eastAsia="Calibri"/>
          <w:i w:val="0"/>
          <w:spacing w:val="4"/>
          <w:szCs w:val="18"/>
        </w:rPr>
        <w:t> </w:t>
      </w:r>
      <w:r w:rsidRPr="0041699D">
        <w:rPr>
          <w:rStyle w:val="longtext1"/>
          <w:rFonts w:eastAsia="Calibri"/>
          <w:i w:val="0"/>
          <w:spacing w:val="4"/>
          <w:szCs w:val="18"/>
        </w:rPr>
        <w:t>0,001</w:t>
      </w:r>
      <w:r w:rsidRPr="0041699D">
        <w:rPr>
          <w:spacing w:val="4"/>
          <w:szCs w:val="18"/>
        </w:rPr>
        <w:t xml:space="preserve">) и </w:t>
      </w:r>
      <w:proofErr w:type="spellStart"/>
      <w:r w:rsidRPr="0041699D">
        <w:rPr>
          <w:spacing w:val="4"/>
          <w:szCs w:val="18"/>
        </w:rPr>
        <w:t>миофиброза</w:t>
      </w:r>
      <w:proofErr w:type="spellEnd"/>
      <w:r w:rsidRPr="0041699D">
        <w:rPr>
          <w:spacing w:val="4"/>
          <w:szCs w:val="18"/>
        </w:rPr>
        <w:t xml:space="preserve"> предплечий (</w:t>
      </w:r>
      <w:r w:rsidRPr="0041699D">
        <w:rPr>
          <w:spacing w:val="4"/>
          <w:szCs w:val="18"/>
          <w:lang w:val="en-US"/>
        </w:rPr>
        <w:t>O</w:t>
      </w:r>
      <w:r w:rsidRPr="0041699D">
        <w:rPr>
          <w:spacing w:val="4"/>
          <w:szCs w:val="18"/>
        </w:rPr>
        <w:t>Р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spacing w:val="4"/>
          <w:szCs w:val="18"/>
        </w:rPr>
        <w:t>8,11; 95%-</w:t>
      </w:r>
      <w:proofErr w:type="spellStart"/>
      <w:r w:rsidRPr="0041699D">
        <w:rPr>
          <w:spacing w:val="4"/>
          <w:szCs w:val="18"/>
        </w:rPr>
        <w:t>ный</w:t>
      </w:r>
      <w:proofErr w:type="spellEnd"/>
      <w:r w:rsidRPr="0041699D">
        <w:rPr>
          <w:spacing w:val="4"/>
          <w:szCs w:val="18"/>
        </w:rPr>
        <w:t xml:space="preserve"> ДИ 1,92–34,1; </w:t>
      </w:r>
      <w:proofErr w:type="spellStart"/>
      <w:r w:rsidRPr="0041699D">
        <w:rPr>
          <w:spacing w:val="4"/>
          <w:szCs w:val="18"/>
        </w:rPr>
        <w:t>χ</w:t>
      </w:r>
      <w:r w:rsidRPr="0041699D">
        <w:rPr>
          <w:spacing w:val="4"/>
          <w:szCs w:val="18"/>
          <w:vertAlign w:val="superscript"/>
        </w:rPr>
        <w:t>2</w:t>
      </w:r>
      <w:proofErr w:type="spellEnd"/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 xml:space="preserve">11,8; </w:t>
      </w:r>
      <w:r w:rsidRPr="0041699D">
        <w:rPr>
          <w:rStyle w:val="longtext1"/>
          <w:rFonts w:eastAsia="Calibri"/>
          <w:spacing w:val="4"/>
          <w:szCs w:val="18"/>
          <w:lang w:val="en-US"/>
        </w:rPr>
        <w:t>p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>0,0005</w:t>
      </w:r>
      <w:r w:rsidRPr="0041699D">
        <w:rPr>
          <w:spacing w:val="4"/>
          <w:szCs w:val="18"/>
        </w:rPr>
        <w:t>), а у горняков открытых рудников – вибрационной болезни (</w:t>
      </w:r>
      <w:r w:rsidRPr="0041699D">
        <w:rPr>
          <w:spacing w:val="4"/>
          <w:szCs w:val="18"/>
          <w:lang w:val="en-US"/>
        </w:rPr>
        <w:t>O</w:t>
      </w:r>
      <w:r w:rsidRPr="0041699D">
        <w:rPr>
          <w:spacing w:val="4"/>
          <w:szCs w:val="18"/>
        </w:rPr>
        <w:t>Р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spacing w:val="4"/>
          <w:szCs w:val="18"/>
        </w:rPr>
        <w:t>1,40; 95%-</w:t>
      </w:r>
      <w:proofErr w:type="spellStart"/>
      <w:r w:rsidRPr="0041699D">
        <w:rPr>
          <w:spacing w:val="4"/>
          <w:szCs w:val="18"/>
        </w:rPr>
        <w:t>ный</w:t>
      </w:r>
      <w:proofErr w:type="spellEnd"/>
      <w:r w:rsidRPr="0041699D">
        <w:rPr>
          <w:spacing w:val="4"/>
          <w:szCs w:val="18"/>
        </w:rPr>
        <w:t xml:space="preserve"> ДИ 1,08–1,80; </w:t>
      </w:r>
      <w:proofErr w:type="spellStart"/>
      <w:r w:rsidRPr="0041699D">
        <w:rPr>
          <w:spacing w:val="4"/>
          <w:szCs w:val="18"/>
        </w:rPr>
        <w:t>χ</w:t>
      </w:r>
      <w:r w:rsidRPr="0041699D">
        <w:rPr>
          <w:spacing w:val="4"/>
          <w:szCs w:val="18"/>
          <w:vertAlign w:val="superscript"/>
        </w:rPr>
        <w:t>2</w:t>
      </w:r>
      <w:proofErr w:type="spellEnd"/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 xml:space="preserve">6,69; </w:t>
      </w:r>
      <w:r w:rsidRPr="0041699D">
        <w:rPr>
          <w:rStyle w:val="longtext1"/>
          <w:rFonts w:eastAsia="Calibri"/>
          <w:spacing w:val="4"/>
          <w:szCs w:val="18"/>
          <w:lang w:val="en-US"/>
        </w:rPr>
        <w:t>p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>0,009</w:t>
      </w:r>
      <w:r w:rsidRPr="0041699D">
        <w:rPr>
          <w:spacing w:val="4"/>
          <w:szCs w:val="18"/>
        </w:rPr>
        <w:t xml:space="preserve">) и </w:t>
      </w:r>
      <w:proofErr w:type="spellStart"/>
      <w:r w:rsidRPr="0041699D">
        <w:rPr>
          <w:spacing w:val="4"/>
          <w:szCs w:val="18"/>
        </w:rPr>
        <w:t>радикулопатии</w:t>
      </w:r>
      <w:proofErr w:type="spellEnd"/>
      <w:r w:rsidRPr="0041699D">
        <w:rPr>
          <w:spacing w:val="4"/>
          <w:szCs w:val="18"/>
        </w:rPr>
        <w:t xml:space="preserve"> (</w:t>
      </w:r>
      <w:r w:rsidRPr="0041699D">
        <w:rPr>
          <w:spacing w:val="4"/>
          <w:szCs w:val="18"/>
          <w:lang w:val="en-US"/>
        </w:rPr>
        <w:t>O</w:t>
      </w:r>
      <w:r w:rsidRPr="0041699D">
        <w:rPr>
          <w:spacing w:val="4"/>
          <w:szCs w:val="18"/>
        </w:rPr>
        <w:t>Р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spacing w:val="4"/>
          <w:szCs w:val="18"/>
        </w:rPr>
        <w:t>1</w:t>
      </w:r>
      <w:proofErr w:type="gramStart"/>
      <w:r w:rsidRPr="0041699D">
        <w:rPr>
          <w:spacing w:val="4"/>
          <w:szCs w:val="18"/>
        </w:rPr>
        <w:t>,47</w:t>
      </w:r>
      <w:proofErr w:type="gramEnd"/>
      <w:r w:rsidRPr="0041699D">
        <w:rPr>
          <w:spacing w:val="4"/>
          <w:szCs w:val="18"/>
        </w:rPr>
        <w:t>; 95%-</w:t>
      </w:r>
      <w:proofErr w:type="spellStart"/>
      <w:r w:rsidRPr="0041699D">
        <w:rPr>
          <w:spacing w:val="4"/>
          <w:szCs w:val="18"/>
        </w:rPr>
        <w:t>ный</w:t>
      </w:r>
      <w:proofErr w:type="spellEnd"/>
      <w:r w:rsidRPr="0041699D">
        <w:rPr>
          <w:spacing w:val="4"/>
          <w:szCs w:val="18"/>
        </w:rPr>
        <w:t xml:space="preserve"> ДИ 1,12–1,93; </w:t>
      </w:r>
      <w:proofErr w:type="spellStart"/>
      <w:r w:rsidRPr="0041699D">
        <w:rPr>
          <w:spacing w:val="4"/>
          <w:szCs w:val="18"/>
        </w:rPr>
        <w:t>χ</w:t>
      </w:r>
      <w:r w:rsidRPr="0041699D">
        <w:rPr>
          <w:spacing w:val="4"/>
          <w:szCs w:val="18"/>
          <w:vertAlign w:val="superscript"/>
        </w:rPr>
        <w:t>2</w:t>
      </w:r>
      <w:proofErr w:type="spellEnd"/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 xml:space="preserve">7,61; </w:t>
      </w:r>
      <w:r w:rsidRPr="0041699D">
        <w:rPr>
          <w:rStyle w:val="longtext1"/>
          <w:rFonts w:eastAsia="Calibri"/>
          <w:spacing w:val="4"/>
          <w:szCs w:val="18"/>
          <w:lang w:val="en-US"/>
        </w:rPr>
        <w:t>p</w:t>
      </w:r>
      <w:r w:rsidRPr="0041699D">
        <w:rPr>
          <w:spacing w:val="4"/>
          <w:szCs w:val="18"/>
          <w:shd w:val="clear" w:color="auto" w:fill="FFFFFF"/>
        </w:rPr>
        <w:t> = </w:t>
      </w:r>
      <w:r w:rsidRPr="0041699D">
        <w:rPr>
          <w:rStyle w:val="longtext1"/>
          <w:rFonts w:eastAsia="Calibri"/>
          <w:i w:val="0"/>
          <w:spacing w:val="4"/>
          <w:szCs w:val="18"/>
        </w:rPr>
        <w:t>0,006</w:t>
      </w:r>
      <w:r w:rsidRPr="0041699D">
        <w:rPr>
          <w:spacing w:val="4"/>
          <w:szCs w:val="18"/>
        </w:rPr>
        <w:t>). В обеих группах работников неудовлетворительные условия труда определяются преимущественно несовершенством технолог</w:t>
      </w:r>
      <w:r w:rsidRPr="0041699D">
        <w:rPr>
          <w:spacing w:val="4"/>
          <w:szCs w:val="18"/>
        </w:rPr>
        <w:t>и</w:t>
      </w:r>
      <w:r w:rsidRPr="0041699D">
        <w:rPr>
          <w:spacing w:val="4"/>
          <w:szCs w:val="18"/>
        </w:rPr>
        <w:t>ческих процессов и рабочих мест. Сделан вывод о необходимости строить п</w:t>
      </w:r>
      <w:r w:rsidRPr="0041699D">
        <w:rPr>
          <w:bCs/>
          <w:spacing w:val="4"/>
          <w:szCs w:val="18"/>
        </w:rPr>
        <w:t>рофилактику профессиональной п</w:t>
      </w:r>
      <w:r w:rsidRPr="0041699D">
        <w:rPr>
          <w:bCs/>
          <w:spacing w:val="4"/>
          <w:szCs w:val="18"/>
        </w:rPr>
        <w:t>а</w:t>
      </w:r>
      <w:r w:rsidRPr="0041699D">
        <w:rPr>
          <w:bCs/>
          <w:spacing w:val="4"/>
          <w:szCs w:val="18"/>
        </w:rPr>
        <w:t>тологии у горняков апатитовых рудников в Арктике с учетом особенностей влияния вредных прои</w:t>
      </w:r>
      <w:r w:rsidRPr="0041699D">
        <w:rPr>
          <w:bCs/>
          <w:spacing w:val="4"/>
          <w:szCs w:val="18"/>
        </w:rPr>
        <w:t>з</w:t>
      </w:r>
      <w:r w:rsidRPr="0041699D">
        <w:rPr>
          <w:bCs/>
          <w:spacing w:val="4"/>
          <w:szCs w:val="18"/>
        </w:rPr>
        <w:t xml:space="preserve">водственных воздействий и сопутствующего </w:t>
      </w:r>
      <w:proofErr w:type="spellStart"/>
      <w:r w:rsidRPr="0041699D">
        <w:rPr>
          <w:bCs/>
          <w:spacing w:val="4"/>
          <w:szCs w:val="18"/>
        </w:rPr>
        <w:t>холодового</w:t>
      </w:r>
      <w:proofErr w:type="spellEnd"/>
      <w:r w:rsidRPr="0041699D">
        <w:rPr>
          <w:bCs/>
          <w:spacing w:val="4"/>
          <w:szCs w:val="18"/>
        </w:rPr>
        <w:t xml:space="preserve"> фактора.</w:t>
      </w:r>
    </w:p>
    <w:p w:rsidR="00C92B98" w:rsidRDefault="00C92B98" w:rsidP="00C92B98">
      <w:pPr>
        <w:pStyle w:val="a7"/>
      </w:pPr>
      <w:proofErr w:type="gramStart"/>
      <w:r>
        <w:rPr>
          <w:b/>
        </w:rPr>
        <w:lastRenderedPageBreak/>
        <w:t>Ключевые слова</w:t>
      </w:r>
      <w:r>
        <w:t>: апатитовая руда, подземная и открытая добыча, горняки, профессиональная патология, Арктика, профессиональные заболевания, болезни костно-мышечной системы, вибрационная болезнь.</w:t>
      </w:r>
      <w:proofErr w:type="gramEnd"/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  <w:spacing w:line="281" w:lineRule="auto"/>
      </w:pPr>
      <w:r>
        <w:t>К КОЛИЧЕСТВЕННОЙ ОЦЕНКЕ МИКРОБНОГО РИСКА, СВЯЗАННОГО С ЭКСПОЗИЦИЕЙ КИШЕЧНЫХ ВИРУСОВ В ПИТЬЕВОЙ ВОДЕ</w:t>
      </w:r>
    </w:p>
    <w:p w:rsidR="00C92B98" w:rsidRDefault="00C92B98" w:rsidP="00C92B98">
      <w:pPr>
        <w:pStyle w:val="2"/>
        <w:spacing w:before="120"/>
      </w:pPr>
      <w:r>
        <w:t>Е.В. Байдакова</w:t>
      </w:r>
      <w:r>
        <w:rPr>
          <w:vertAlign w:val="superscript"/>
        </w:rPr>
        <w:t>1,2</w:t>
      </w:r>
      <w:r>
        <w:t>, Т.Н. Унгуряну</w:t>
      </w:r>
      <w:r>
        <w:rPr>
          <w:vertAlign w:val="superscript"/>
        </w:rPr>
        <w:t>1,2</w:t>
      </w:r>
      <w:r>
        <w:t>, Р.И. Михайлова</w:t>
      </w:r>
      <w:r>
        <w:rPr>
          <w:vertAlign w:val="superscript"/>
        </w:rPr>
        <w:t>3</w:t>
      </w:r>
    </w:p>
    <w:p w:rsidR="00C92B98" w:rsidRPr="0051201D" w:rsidRDefault="00C92B98" w:rsidP="00C92B98">
      <w:pPr>
        <w:pStyle w:val="3"/>
        <w:spacing w:before="100" w:line="235" w:lineRule="auto"/>
        <w:rPr>
          <w:spacing w:val="4"/>
          <w:highlight w:val="magenta"/>
        </w:rPr>
      </w:pPr>
      <w:r>
        <w:rPr>
          <w:vertAlign w:val="superscript"/>
        </w:rPr>
        <w:t>1</w:t>
      </w:r>
      <w:r>
        <w:t>Управление Федеральной службы по надзору в сфере защиты прав потр</w:t>
      </w:r>
      <w:r>
        <w:t>е</w:t>
      </w:r>
      <w:r>
        <w:t>бителей и благополучия человека по Архангельской области, Россия, 163000, г. Архангельск, ул. Гайдара, 24</w:t>
      </w:r>
      <w:r>
        <w:br/>
      </w:r>
      <w:r>
        <w:rPr>
          <w:vertAlign w:val="superscript"/>
        </w:rPr>
        <w:t>2</w:t>
      </w:r>
      <w:r>
        <w:t>Северный государственный медицинский университет, Россия, 163000, г. Архангельск, пр. Троицкий, 51</w:t>
      </w:r>
      <w:r>
        <w:br/>
      </w:r>
      <w:r>
        <w:rPr>
          <w:vertAlign w:val="superscript"/>
        </w:rPr>
        <w:t>3</w:t>
      </w:r>
      <w:r>
        <w:t>Центр стратегического планирования и управления медико-биологическими рисками здоровью, Россия, 119121, г. Москва, ул. Погодинская, 10, стр. 1</w:t>
      </w:r>
    </w:p>
    <w:p w:rsidR="00C92B98" w:rsidRPr="0051201D" w:rsidRDefault="00C92B98" w:rsidP="00C92B98">
      <w:pPr>
        <w:pStyle w:val="a6"/>
        <w:rPr>
          <w:sz w:val="16"/>
          <w:szCs w:val="16"/>
          <w:highlight w:val="magenta"/>
        </w:rPr>
      </w:pPr>
    </w:p>
    <w:p w:rsidR="00C92B98" w:rsidRPr="0051201D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  <w:highlight w:val="magenta"/>
        </w:rPr>
      </w:pPr>
    </w:p>
    <w:p w:rsidR="00C92B98" w:rsidRPr="00804969" w:rsidRDefault="00C92B98" w:rsidP="00C92B98">
      <w:pPr>
        <w:pStyle w:val="a7"/>
        <w:spacing w:line="230" w:lineRule="auto"/>
        <w:rPr>
          <w:szCs w:val="18"/>
        </w:rPr>
      </w:pPr>
      <w:r w:rsidRPr="00804969">
        <w:rPr>
          <w:szCs w:val="18"/>
        </w:rPr>
        <w:t>Выполнена оценка микробиологического риска возникновения острых кишечных инфекций (ОКИ) вирусной этиологии, связанного с потреблением питьевой воды водопроводной сети совокупным населением городов Арха</w:t>
      </w:r>
      <w:r w:rsidRPr="00804969">
        <w:rPr>
          <w:szCs w:val="18"/>
        </w:rPr>
        <w:t>н</w:t>
      </w:r>
      <w:r w:rsidRPr="00804969">
        <w:rPr>
          <w:szCs w:val="18"/>
        </w:rPr>
        <w:t>гельской области за 2006–2017 гг. При проведении исследования использована методика к</w:t>
      </w:r>
      <w:r w:rsidRPr="00804969">
        <w:rPr>
          <w:szCs w:val="18"/>
          <w:shd w:val="clear" w:color="auto" w:fill="FCFCFC"/>
        </w:rPr>
        <w:t>оличественной оценки микробиологического риска (</w:t>
      </w:r>
      <w:proofErr w:type="spellStart"/>
      <w:r w:rsidRPr="00804969">
        <w:rPr>
          <w:szCs w:val="18"/>
          <w:shd w:val="clear" w:color="auto" w:fill="FCFCFC"/>
        </w:rPr>
        <w:t>Quantitative</w:t>
      </w:r>
      <w:proofErr w:type="spellEnd"/>
      <w:r w:rsidRPr="00804969">
        <w:rPr>
          <w:szCs w:val="18"/>
          <w:shd w:val="clear" w:color="auto" w:fill="FCFCFC"/>
        </w:rPr>
        <w:t xml:space="preserve"> </w:t>
      </w:r>
      <w:proofErr w:type="spellStart"/>
      <w:r w:rsidRPr="00804969">
        <w:rPr>
          <w:szCs w:val="18"/>
          <w:shd w:val="clear" w:color="auto" w:fill="FCFCFC"/>
        </w:rPr>
        <w:t>Microbial</w:t>
      </w:r>
      <w:proofErr w:type="spellEnd"/>
      <w:r w:rsidRPr="00804969">
        <w:rPr>
          <w:szCs w:val="18"/>
          <w:shd w:val="clear" w:color="auto" w:fill="FCFCFC"/>
        </w:rPr>
        <w:t xml:space="preserve"> </w:t>
      </w:r>
      <w:proofErr w:type="spellStart"/>
      <w:r w:rsidRPr="00804969">
        <w:rPr>
          <w:szCs w:val="18"/>
          <w:shd w:val="clear" w:color="auto" w:fill="FCFCFC"/>
        </w:rPr>
        <w:t>Risk</w:t>
      </w:r>
      <w:proofErr w:type="spellEnd"/>
      <w:r w:rsidRPr="00804969">
        <w:rPr>
          <w:szCs w:val="18"/>
          <w:shd w:val="clear" w:color="auto" w:fill="FCFCFC"/>
        </w:rPr>
        <w:t xml:space="preserve"> </w:t>
      </w:r>
      <w:proofErr w:type="spellStart"/>
      <w:r w:rsidRPr="00804969">
        <w:rPr>
          <w:szCs w:val="18"/>
          <w:shd w:val="clear" w:color="auto" w:fill="FCFCFC"/>
        </w:rPr>
        <w:t>Assessment</w:t>
      </w:r>
      <w:proofErr w:type="spellEnd"/>
      <w:r w:rsidRPr="00804969">
        <w:rPr>
          <w:szCs w:val="18"/>
          <w:shd w:val="clear" w:color="auto" w:fill="FCFCFC"/>
        </w:rPr>
        <w:t xml:space="preserve"> – </w:t>
      </w:r>
      <w:r w:rsidRPr="00804969">
        <w:rPr>
          <w:szCs w:val="18"/>
          <w:shd w:val="clear" w:color="auto" w:fill="FCFCFC"/>
          <w:lang w:val="en-US"/>
        </w:rPr>
        <w:t>QMRA</w:t>
      </w:r>
      <w:r w:rsidRPr="00804969">
        <w:rPr>
          <w:szCs w:val="18"/>
          <w:shd w:val="clear" w:color="auto" w:fill="FCFCFC"/>
        </w:rPr>
        <w:t>).</w:t>
      </w:r>
      <w:r w:rsidRPr="00804969">
        <w:rPr>
          <w:szCs w:val="18"/>
        </w:rPr>
        <w:t xml:space="preserve"> </w:t>
      </w:r>
      <w:proofErr w:type="gramStart"/>
      <w:r w:rsidRPr="00804969">
        <w:rPr>
          <w:szCs w:val="18"/>
        </w:rPr>
        <w:t xml:space="preserve">Показано, что в структуре кишечных инфекций преобладают ОКИ вирусной этиологии, среди которых наиболее распространенными являются </w:t>
      </w:r>
      <w:proofErr w:type="spellStart"/>
      <w:r w:rsidRPr="00804969">
        <w:rPr>
          <w:szCs w:val="18"/>
        </w:rPr>
        <w:t>ротав</w:t>
      </w:r>
      <w:r w:rsidRPr="00804969">
        <w:rPr>
          <w:szCs w:val="18"/>
        </w:rPr>
        <w:t>и</w:t>
      </w:r>
      <w:r w:rsidRPr="00804969">
        <w:rPr>
          <w:szCs w:val="18"/>
        </w:rPr>
        <w:t>русная</w:t>
      </w:r>
      <w:proofErr w:type="spellEnd"/>
      <w:r w:rsidRPr="00804969">
        <w:rPr>
          <w:szCs w:val="18"/>
        </w:rPr>
        <w:t xml:space="preserve"> (86,9 %), </w:t>
      </w:r>
      <w:proofErr w:type="spellStart"/>
      <w:r w:rsidRPr="00804969">
        <w:rPr>
          <w:szCs w:val="18"/>
        </w:rPr>
        <w:t>норовирусная</w:t>
      </w:r>
      <w:proofErr w:type="spellEnd"/>
      <w:r w:rsidRPr="00804969">
        <w:rPr>
          <w:szCs w:val="18"/>
        </w:rPr>
        <w:t xml:space="preserve"> (7,7 %) и энтеровирусная (3,7 %) инфекции.</w:t>
      </w:r>
      <w:proofErr w:type="gramEnd"/>
      <w:r w:rsidRPr="00804969">
        <w:rPr>
          <w:szCs w:val="18"/>
        </w:rPr>
        <w:t xml:space="preserve"> Сравнительный анализ пространственн</w:t>
      </w:r>
      <w:r w:rsidRPr="00804969">
        <w:rPr>
          <w:szCs w:val="18"/>
        </w:rPr>
        <w:t>о</w:t>
      </w:r>
      <w:r w:rsidRPr="00804969">
        <w:rPr>
          <w:szCs w:val="18"/>
        </w:rPr>
        <w:t>го распределения и многолетней динамики заболеваемости ОКИ с возможным водным фактором передачи возб</w:t>
      </w:r>
      <w:r w:rsidRPr="00804969">
        <w:rPr>
          <w:szCs w:val="18"/>
        </w:rPr>
        <w:t>у</w:t>
      </w:r>
      <w:r w:rsidRPr="00804969">
        <w:rPr>
          <w:szCs w:val="18"/>
        </w:rPr>
        <w:t xml:space="preserve">дителя указывает на высокий уровень частоты развития </w:t>
      </w:r>
      <w:proofErr w:type="spellStart"/>
      <w:r w:rsidRPr="00804969">
        <w:rPr>
          <w:szCs w:val="18"/>
        </w:rPr>
        <w:t>ротавирусной</w:t>
      </w:r>
      <w:proofErr w:type="spellEnd"/>
      <w:r w:rsidRPr="00804969">
        <w:rPr>
          <w:szCs w:val="18"/>
        </w:rPr>
        <w:t xml:space="preserve"> и </w:t>
      </w:r>
      <w:proofErr w:type="spellStart"/>
      <w:r w:rsidRPr="00804969">
        <w:rPr>
          <w:szCs w:val="18"/>
        </w:rPr>
        <w:t>норовирусной</w:t>
      </w:r>
      <w:proofErr w:type="spellEnd"/>
      <w:r w:rsidRPr="00804969">
        <w:rPr>
          <w:szCs w:val="18"/>
        </w:rPr>
        <w:t xml:space="preserve"> инфекции в городах Арха</w:t>
      </w:r>
      <w:r w:rsidRPr="00804969">
        <w:rPr>
          <w:szCs w:val="18"/>
        </w:rPr>
        <w:t>н</w:t>
      </w:r>
      <w:r w:rsidRPr="00804969">
        <w:rPr>
          <w:szCs w:val="18"/>
        </w:rPr>
        <w:t xml:space="preserve">гельске, </w:t>
      </w:r>
      <w:proofErr w:type="spellStart"/>
      <w:r w:rsidRPr="00804969">
        <w:rPr>
          <w:szCs w:val="18"/>
        </w:rPr>
        <w:t>Новодвинске</w:t>
      </w:r>
      <w:proofErr w:type="spellEnd"/>
      <w:r w:rsidRPr="00804969">
        <w:rPr>
          <w:szCs w:val="18"/>
        </w:rPr>
        <w:t xml:space="preserve">, Коряжме и Котласе. В Коряжме и Архангельске скорость развития заболеваемости </w:t>
      </w:r>
      <w:proofErr w:type="spellStart"/>
      <w:r w:rsidRPr="00804969">
        <w:rPr>
          <w:szCs w:val="18"/>
        </w:rPr>
        <w:t>ротавирусной</w:t>
      </w:r>
      <w:proofErr w:type="spellEnd"/>
      <w:r w:rsidRPr="00804969">
        <w:rPr>
          <w:szCs w:val="18"/>
        </w:rPr>
        <w:t xml:space="preserve"> инфекцией среди населения превышала скорость эпидемиологического процесса на территории сравнения в 1,5–1,6 раза. Превышение гигиенического норматива по содерж</w:t>
      </w:r>
      <w:r w:rsidRPr="00804969">
        <w:rPr>
          <w:szCs w:val="18"/>
        </w:rPr>
        <w:t>а</w:t>
      </w:r>
      <w:r w:rsidRPr="00804969">
        <w:rPr>
          <w:szCs w:val="18"/>
        </w:rPr>
        <w:t xml:space="preserve">нию </w:t>
      </w:r>
      <w:proofErr w:type="spellStart"/>
      <w:r w:rsidRPr="00804969">
        <w:rPr>
          <w:szCs w:val="18"/>
        </w:rPr>
        <w:t>колифагов</w:t>
      </w:r>
      <w:proofErr w:type="spellEnd"/>
      <w:r w:rsidRPr="00804969">
        <w:rPr>
          <w:szCs w:val="18"/>
        </w:rPr>
        <w:t xml:space="preserve"> на уровне </w:t>
      </w:r>
      <w:proofErr w:type="spellStart"/>
      <w:r w:rsidRPr="00804969">
        <w:rPr>
          <w:szCs w:val="18"/>
        </w:rPr>
        <w:t>Р</w:t>
      </w:r>
      <w:r w:rsidRPr="00804969">
        <w:rPr>
          <w:szCs w:val="18"/>
          <w:vertAlign w:val="subscript"/>
        </w:rPr>
        <w:t>95</w:t>
      </w:r>
      <w:proofErr w:type="spellEnd"/>
      <w:r w:rsidRPr="00804969">
        <w:rPr>
          <w:szCs w:val="18"/>
        </w:rPr>
        <w:t xml:space="preserve"> отмечалось в</w:t>
      </w:r>
      <w:r>
        <w:rPr>
          <w:szCs w:val="18"/>
        </w:rPr>
        <w:t> </w:t>
      </w:r>
      <w:r w:rsidRPr="00804969">
        <w:rPr>
          <w:szCs w:val="18"/>
        </w:rPr>
        <w:t>питьевой воде водопроводной сети Архангельска и Коряжмы в 1,4 и 2,2 раза соответственно. Высокая вероя</w:t>
      </w:r>
      <w:r w:rsidRPr="00804969">
        <w:rPr>
          <w:szCs w:val="18"/>
        </w:rPr>
        <w:t>т</w:t>
      </w:r>
      <w:r w:rsidRPr="00804969">
        <w:rPr>
          <w:szCs w:val="18"/>
        </w:rPr>
        <w:t xml:space="preserve">ность возникновения </w:t>
      </w:r>
      <w:proofErr w:type="spellStart"/>
      <w:r w:rsidRPr="00804969">
        <w:rPr>
          <w:szCs w:val="18"/>
        </w:rPr>
        <w:t>ротавирусной</w:t>
      </w:r>
      <w:proofErr w:type="spellEnd"/>
      <w:r w:rsidRPr="00804969">
        <w:rPr>
          <w:szCs w:val="18"/>
        </w:rPr>
        <w:t xml:space="preserve">, </w:t>
      </w:r>
      <w:proofErr w:type="spellStart"/>
      <w:r w:rsidRPr="00804969">
        <w:rPr>
          <w:szCs w:val="18"/>
        </w:rPr>
        <w:t>норови</w:t>
      </w:r>
      <w:r>
        <w:rPr>
          <w:szCs w:val="18"/>
        </w:rPr>
        <w:t>русной</w:t>
      </w:r>
      <w:proofErr w:type="spellEnd"/>
      <w:r>
        <w:rPr>
          <w:szCs w:val="18"/>
        </w:rPr>
        <w:t xml:space="preserve"> и энтеровирусной инфекци</w:t>
      </w:r>
      <w:r w:rsidRPr="00804969">
        <w:rPr>
          <w:szCs w:val="18"/>
        </w:rPr>
        <w:t>й установлена в Архангельске (</w:t>
      </w:r>
      <w:proofErr w:type="gramStart"/>
      <w:r w:rsidRPr="00804969">
        <w:rPr>
          <w:szCs w:val="18"/>
        </w:rPr>
        <w:t>р</w:t>
      </w:r>
      <w:proofErr w:type="gramEnd"/>
      <w:r w:rsidRPr="00804969">
        <w:rPr>
          <w:szCs w:val="18"/>
        </w:rPr>
        <w:t xml:space="preserve"> = 0,97–0,99) и </w:t>
      </w:r>
      <w:proofErr w:type="spellStart"/>
      <w:r w:rsidRPr="00804969">
        <w:rPr>
          <w:szCs w:val="18"/>
        </w:rPr>
        <w:t>ротавирусной</w:t>
      </w:r>
      <w:proofErr w:type="spellEnd"/>
      <w:r w:rsidRPr="00804969">
        <w:rPr>
          <w:szCs w:val="18"/>
        </w:rPr>
        <w:t xml:space="preserve"> инфекци</w:t>
      </w:r>
      <w:r>
        <w:rPr>
          <w:szCs w:val="18"/>
        </w:rPr>
        <w:t>и</w:t>
      </w:r>
      <w:r w:rsidRPr="00804969">
        <w:rPr>
          <w:szCs w:val="18"/>
        </w:rPr>
        <w:t xml:space="preserve"> – в Коряжме (р = 0,95). Средняя вероятность возникновения </w:t>
      </w:r>
      <w:proofErr w:type="spellStart"/>
      <w:r w:rsidRPr="00804969">
        <w:rPr>
          <w:szCs w:val="18"/>
        </w:rPr>
        <w:t>норовирусной</w:t>
      </w:r>
      <w:proofErr w:type="spellEnd"/>
      <w:r w:rsidRPr="00804969">
        <w:rPr>
          <w:szCs w:val="18"/>
        </w:rPr>
        <w:t xml:space="preserve"> (</w:t>
      </w:r>
      <w:proofErr w:type="gramStart"/>
      <w:r w:rsidRPr="00804969">
        <w:rPr>
          <w:szCs w:val="18"/>
        </w:rPr>
        <w:t>р</w:t>
      </w:r>
      <w:proofErr w:type="gramEnd"/>
      <w:r w:rsidRPr="00804969">
        <w:rPr>
          <w:szCs w:val="18"/>
        </w:rPr>
        <w:t> =</w:t>
      </w:r>
      <w:r>
        <w:rPr>
          <w:szCs w:val="18"/>
        </w:rPr>
        <w:t> 0,58) и энтеровирусной инфекци</w:t>
      </w:r>
      <w:r w:rsidRPr="00804969">
        <w:rPr>
          <w:szCs w:val="18"/>
        </w:rPr>
        <w:t>й (р = 0,43) отмечена в Коряжме. Полученные результаты исследования ук</w:t>
      </w:r>
      <w:r w:rsidRPr="00804969">
        <w:rPr>
          <w:szCs w:val="18"/>
        </w:rPr>
        <w:t>а</w:t>
      </w:r>
      <w:r w:rsidRPr="00804969">
        <w:rPr>
          <w:szCs w:val="18"/>
        </w:rPr>
        <w:t>зывают на практическую значимость использования метода оценки микробного риска (</w:t>
      </w:r>
      <w:r w:rsidRPr="00804969">
        <w:rPr>
          <w:szCs w:val="18"/>
          <w:lang w:val="en-US"/>
        </w:rPr>
        <w:t>QMRA</w:t>
      </w:r>
      <w:r w:rsidRPr="00804969">
        <w:rPr>
          <w:szCs w:val="18"/>
        </w:rPr>
        <w:t>) в системе санита</w:t>
      </w:r>
      <w:r w:rsidRPr="00804969">
        <w:rPr>
          <w:szCs w:val="18"/>
        </w:rPr>
        <w:t>р</w:t>
      </w:r>
      <w:r w:rsidRPr="00804969">
        <w:rPr>
          <w:szCs w:val="18"/>
        </w:rPr>
        <w:t>но-эпидемиологического надзора за водоподготовкой и обусловливают необходимость внедрения системы вирусологического мониторинга централиз</w:t>
      </w:r>
      <w:r w:rsidRPr="00804969">
        <w:rPr>
          <w:szCs w:val="18"/>
        </w:rPr>
        <w:t>о</w:t>
      </w:r>
      <w:r w:rsidRPr="00804969">
        <w:rPr>
          <w:szCs w:val="18"/>
        </w:rPr>
        <w:t>ванного питьевого водоснабжения.</w:t>
      </w:r>
    </w:p>
    <w:p w:rsidR="00C92B98" w:rsidRPr="00E51F57" w:rsidRDefault="00C92B98" w:rsidP="00C92B98">
      <w:pPr>
        <w:pStyle w:val="a7"/>
        <w:spacing w:line="230" w:lineRule="auto"/>
      </w:pPr>
      <w:r w:rsidRPr="00D7591D">
        <w:rPr>
          <w:b/>
        </w:rPr>
        <w:t xml:space="preserve">Ключевые слова: </w:t>
      </w:r>
      <w:r w:rsidRPr="00D7591D">
        <w:t>питьевая вода, водоснабжение, острые кишечные инфекции, вирусные инфекции, содерж</w:t>
      </w:r>
      <w:r w:rsidRPr="00D7591D">
        <w:t>а</w:t>
      </w:r>
      <w:r w:rsidRPr="00D7591D">
        <w:t xml:space="preserve">ние </w:t>
      </w:r>
      <w:proofErr w:type="spellStart"/>
      <w:r w:rsidRPr="00D7591D">
        <w:t>колифагов</w:t>
      </w:r>
      <w:proofErr w:type="spellEnd"/>
      <w:r w:rsidRPr="00D7591D">
        <w:t xml:space="preserve">, оценка риска, микробиологический риск, </w:t>
      </w:r>
      <w:r w:rsidRPr="00D7591D">
        <w:rPr>
          <w:lang w:val="en-US"/>
        </w:rPr>
        <w:t>QMRA</w:t>
      </w:r>
      <w:r w:rsidRPr="00D7591D">
        <w:t>.</w:t>
      </w:r>
    </w:p>
    <w:p w:rsidR="00C92B98" w:rsidRPr="001C69C9" w:rsidRDefault="00C92B98" w:rsidP="00C92B98">
      <w:pPr>
        <w:pStyle w:val="a6"/>
        <w:rPr>
          <w:sz w:val="16"/>
          <w:szCs w:val="16"/>
        </w:rPr>
      </w:pP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r>
        <w:t>ЭПИДЕМИОЛОГИЯ ЗЛОКАЧЕСТВЕННЫХ НОВООБРАЗОВАНИЙ ПРЕДСТАТЕЛЬНОЙ ЖЕЛЕЗЫ В КУ</w:t>
      </w:r>
      <w:r>
        <w:t>Р</w:t>
      </w:r>
      <w:r>
        <w:t>СКОЙ ОБЛАСТИ</w:t>
      </w:r>
    </w:p>
    <w:p w:rsidR="00C92B98" w:rsidRDefault="00C92B98" w:rsidP="00C92B98">
      <w:pPr>
        <w:pStyle w:val="2"/>
      </w:pPr>
      <w:r>
        <w:t>И.Л. Киселев, А.А. Польшин</w:t>
      </w:r>
    </w:p>
    <w:p w:rsidR="00C92B98" w:rsidRPr="00B56C35" w:rsidRDefault="00C92B98" w:rsidP="00C92B98">
      <w:pPr>
        <w:pStyle w:val="3"/>
        <w:rPr>
          <w:spacing w:val="-2"/>
        </w:rPr>
      </w:pPr>
      <w:r w:rsidRPr="00B56C35">
        <w:rPr>
          <w:spacing w:val="-2"/>
        </w:rPr>
        <w:t>Курский областной клинический онкологический диспансер, Россия, 305524, хутор Кислино, ул. Елисеева, 1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B56C35" w:rsidRDefault="00C92B98" w:rsidP="00C92B98">
      <w:pPr>
        <w:pStyle w:val="a7"/>
        <w:spacing w:line="240" w:lineRule="auto"/>
        <w:rPr>
          <w:szCs w:val="18"/>
        </w:rPr>
      </w:pPr>
      <w:r w:rsidRPr="00B56C35">
        <w:rPr>
          <w:szCs w:val="18"/>
        </w:rPr>
        <w:t>Проведен эпидемиологический анализ 2238 впервые заболевших и 999 умерших мужчин от рака предстател</w:t>
      </w:r>
      <w:r w:rsidRPr="00B56C35">
        <w:rPr>
          <w:szCs w:val="18"/>
        </w:rPr>
        <w:t>ь</w:t>
      </w:r>
      <w:r w:rsidRPr="00B56C35">
        <w:rPr>
          <w:szCs w:val="18"/>
        </w:rPr>
        <w:t>ной железы за период с 2007 по 2016 г. в Курской области.</w:t>
      </w:r>
    </w:p>
    <w:p w:rsidR="00C92B98" w:rsidRPr="00B56C35" w:rsidRDefault="00C92B98" w:rsidP="00C92B98">
      <w:pPr>
        <w:pStyle w:val="a7"/>
        <w:spacing w:line="240" w:lineRule="auto"/>
        <w:rPr>
          <w:szCs w:val="18"/>
        </w:rPr>
      </w:pPr>
      <w:r w:rsidRPr="00B56C35">
        <w:rPr>
          <w:szCs w:val="18"/>
        </w:rPr>
        <w:t xml:space="preserve">Обработка данных происходила с использованием программы </w:t>
      </w:r>
      <w:proofErr w:type="spellStart"/>
      <w:r w:rsidRPr="00B56C35">
        <w:rPr>
          <w:szCs w:val="18"/>
          <w:lang w:val="en-US"/>
        </w:rPr>
        <w:t>Statistica</w:t>
      </w:r>
      <w:proofErr w:type="spellEnd"/>
      <w:r w:rsidRPr="00B56C35">
        <w:rPr>
          <w:szCs w:val="18"/>
        </w:rPr>
        <w:t xml:space="preserve"> </w:t>
      </w:r>
      <w:r w:rsidRPr="00B56C35">
        <w:rPr>
          <w:szCs w:val="18"/>
          <w:lang w:val="en-US"/>
        </w:rPr>
        <w:t>for</w:t>
      </w:r>
      <w:r w:rsidRPr="00B56C35">
        <w:rPr>
          <w:szCs w:val="18"/>
        </w:rPr>
        <w:t xml:space="preserve"> </w:t>
      </w:r>
      <w:r w:rsidRPr="00B56C35">
        <w:rPr>
          <w:szCs w:val="18"/>
          <w:lang w:val="en-US"/>
        </w:rPr>
        <w:t>Windows</w:t>
      </w:r>
      <w:r w:rsidRPr="00B56C35">
        <w:rPr>
          <w:szCs w:val="18"/>
        </w:rPr>
        <w:t xml:space="preserve"> (версия 12,5). Использов</w:t>
      </w:r>
      <w:r w:rsidRPr="00B56C35">
        <w:rPr>
          <w:szCs w:val="18"/>
        </w:rPr>
        <w:t>а</w:t>
      </w:r>
      <w:r w:rsidRPr="00B56C35">
        <w:rPr>
          <w:szCs w:val="18"/>
        </w:rPr>
        <w:t>лись интенсивные общие и повозрастные (на 100 тысяч мужчин) показатели. Сравнение общих показателей заб</w:t>
      </w:r>
      <w:r w:rsidRPr="00B56C35">
        <w:rPr>
          <w:szCs w:val="18"/>
        </w:rPr>
        <w:t>о</w:t>
      </w:r>
      <w:r w:rsidRPr="00B56C35">
        <w:rPr>
          <w:szCs w:val="18"/>
        </w:rPr>
        <w:t>леваемости и смертности проводилось с данными Центрального федерального округа. Сравнение повозрастных показателей заболеваемости и смертности от рака предстательной железы выполнялось с такими же показат</w:t>
      </w:r>
      <w:r w:rsidRPr="00B56C35">
        <w:rPr>
          <w:szCs w:val="18"/>
        </w:rPr>
        <w:t>е</w:t>
      </w:r>
      <w:r w:rsidRPr="00B56C35">
        <w:rPr>
          <w:szCs w:val="18"/>
        </w:rPr>
        <w:t>лями Российской Федерации. Для проверки достоверности различий между совокупностями применялся параметр</w:t>
      </w:r>
      <w:r w:rsidRPr="00B56C35">
        <w:rPr>
          <w:szCs w:val="18"/>
        </w:rPr>
        <w:t>и</w:t>
      </w:r>
      <w:r w:rsidRPr="00B56C35">
        <w:rPr>
          <w:szCs w:val="18"/>
        </w:rPr>
        <w:t>ческий критерий Стьюдента (t) при 95%-ном уровне значимости. Прогнозирование заболеваемости и смертности от рака предстательной железы выполнялось с использованием модели авторегрессии и интегрированного скользящего средн</w:t>
      </w:r>
      <w:r w:rsidRPr="00B56C35">
        <w:rPr>
          <w:szCs w:val="18"/>
        </w:rPr>
        <w:t>е</w:t>
      </w:r>
      <w:r w:rsidRPr="00B56C35">
        <w:rPr>
          <w:szCs w:val="18"/>
        </w:rPr>
        <w:t>го (</w:t>
      </w:r>
      <w:r w:rsidRPr="00B56C35">
        <w:rPr>
          <w:szCs w:val="18"/>
          <w:lang w:val="en-US"/>
        </w:rPr>
        <w:t>ARIMA</w:t>
      </w:r>
      <w:r w:rsidRPr="00B56C35">
        <w:rPr>
          <w:szCs w:val="18"/>
        </w:rPr>
        <w:t>) до 2021 г.</w:t>
      </w:r>
    </w:p>
    <w:p w:rsidR="00C92B98" w:rsidRPr="00FB423B" w:rsidRDefault="00C92B98" w:rsidP="00C92B98">
      <w:pPr>
        <w:pStyle w:val="a7"/>
        <w:spacing w:line="240" w:lineRule="auto"/>
        <w:rPr>
          <w:spacing w:val="-2"/>
          <w:szCs w:val="18"/>
        </w:rPr>
      </w:pPr>
      <w:r w:rsidRPr="00FB423B">
        <w:rPr>
          <w:spacing w:val="-2"/>
          <w:szCs w:val="18"/>
        </w:rPr>
        <w:t>В структуре заболеваемости злокачественными новообразованиями мужчин Курской области рак предст</w:t>
      </w:r>
      <w:r w:rsidRPr="00FB423B">
        <w:rPr>
          <w:spacing w:val="-2"/>
          <w:szCs w:val="18"/>
        </w:rPr>
        <w:t>а</w:t>
      </w:r>
      <w:r w:rsidRPr="00FB423B">
        <w:rPr>
          <w:spacing w:val="-2"/>
          <w:szCs w:val="18"/>
        </w:rPr>
        <w:t>тельной железы занимает пятое место, в структуре смертности – шестое место. Прирост заболеваемости раком предстательной железы в Курской области в 2016 г. к 2007 г. составил 100,3 %, смертности – 85,6 %. К 2021 г. заб</w:t>
      </w:r>
      <w:r w:rsidRPr="00FB423B">
        <w:rPr>
          <w:spacing w:val="-2"/>
          <w:szCs w:val="18"/>
        </w:rPr>
        <w:t>о</w:t>
      </w:r>
      <w:r w:rsidRPr="00FB423B">
        <w:rPr>
          <w:spacing w:val="-2"/>
          <w:szCs w:val="18"/>
        </w:rPr>
        <w:t>леваемость раком предстательной железы может достичь 71,24, смертность – 30,79. Увеличение заболеваемости у мужчин Ку</w:t>
      </w:r>
      <w:r w:rsidRPr="00FB423B">
        <w:rPr>
          <w:spacing w:val="-2"/>
          <w:szCs w:val="18"/>
        </w:rPr>
        <w:t>р</w:t>
      </w:r>
      <w:r w:rsidRPr="00FB423B">
        <w:rPr>
          <w:spacing w:val="-2"/>
          <w:szCs w:val="18"/>
        </w:rPr>
        <w:t>ской области связано с приростом заболевших мужчин в возрасте 60–64 года и в 80 лет и старше. Увеличение смертности от рака предстательной железы пр</w:t>
      </w:r>
      <w:r w:rsidRPr="00FB423B">
        <w:rPr>
          <w:spacing w:val="-2"/>
          <w:szCs w:val="18"/>
        </w:rPr>
        <w:t>о</w:t>
      </w:r>
      <w:r w:rsidRPr="00FB423B">
        <w:rPr>
          <w:spacing w:val="-2"/>
          <w:szCs w:val="18"/>
        </w:rPr>
        <w:t>изошло за счет прироста умерших мужчин от 50 лет и старше.</w:t>
      </w:r>
    </w:p>
    <w:p w:rsidR="00C92B98" w:rsidRPr="00B56C35" w:rsidRDefault="00C92B98" w:rsidP="00C92B98">
      <w:pPr>
        <w:pStyle w:val="a7"/>
        <w:spacing w:line="240" w:lineRule="auto"/>
        <w:rPr>
          <w:szCs w:val="18"/>
        </w:rPr>
      </w:pPr>
      <w:r w:rsidRPr="00B56C35">
        <w:rPr>
          <w:szCs w:val="18"/>
        </w:rPr>
        <w:t>Курская область в ближайшие годы по заболеваемости и смертности от рака предстательной железы может занять ведущие позиции среди регионов Центрального федерального округа. Результаты исследования используются для планирования и разработки р</w:t>
      </w:r>
      <w:r w:rsidRPr="00B56C35">
        <w:rPr>
          <w:szCs w:val="18"/>
        </w:rPr>
        <w:t>е</w:t>
      </w:r>
      <w:r w:rsidRPr="00B56C35">
        <w:rPr>
          <w:szCs w:val="18"/>
        </w:rPr>
        <w:t>гиональной целевой программы «Онкология».</w:t>
      </w:r>
    </w:p>
    <w:p w:rsidR="00C92B98" w:rsidRPr="00B56C35" w:rsidRDefault="00C92B98" w:rsidP="00C92B98">
      <w:pPr>
        <w:pStyle w:val="a7"/>
        <w:spacing w:line="240" w:lineRule="auto"/>
        <w:rPr>
          <w:szCs w:val="18"/>
        </w:rPr>
      </w:pPr>
      <w:proofErr w:type="gramStart"/>
      <w:r w:rsidRPr="00B56C35">
        <w:rPr>
          <w:b/>
          <w:szCs w:val="18"/>
        </w:rPr>
        <w:t xml:space="preserve">Ключевые слова: </w:t>
      </w:r>
      <w:r w:rsidRPr="00B56C35">
        <w:rPr>
          <w:szCs w:val="18"/>
        </w:rPr>
        <w:t>злокачественные новообразования, эпидемиологический анализ, заболеваемость, смертность, рак предстательной железы, повозрас</w:t>
      </w:r>
      <w:r w:rsidRPr="00B56C35">
        <w:rPr>
          <w:szCs w:val="18"/>
        </w:rPr>
        <w:t>т</w:t>
      </w:r>
      <w:r w:rsidRPr="00B56C35">
        <w:rPr>
          <w:szCs w:val="18"/>
        </w:rPr>
        <w:t>ные показатели, целевая программа.</w:t>
      </w:r>
      <w:proofErr w:type="gramEnd"/>
    </w:p>
    <w:p w:rsidR="00C92B98" w:rsidRPr="00EE1ACD" w:rsidRDefault="00C92B98" w:rsidP="00C92B98">
      <w:pPr>
        <w:pStyle w:val="1"/>
      </w:pPr>
      <w:r w:rsidRPr="00EE1ACD">
        <w:lastRenderedPageBreak/>
        <w:t xml:space="preserve">МУТАЦИЯ ГЕНА </w:t>
      </w:r>
      <w:r w:rsidRPr="00EE1ACD">
        <w:rPr>
          <w:i/>
          <w:lang w:val="en-US"/>
        </w:rPr>
        <w:t>UGT</w:t>
      </w:r>
      <w:r w:rsidRPr="00EE1ACD">
        <w:rPr>
          <w:i/>
        </w:rPr>
        <w:t>1</w:t>
      </w:r>
      <w:r w:rsidRPr="00EE1ACD">
        <w:rPr>
          <w:i/>
          <w:lang w:val="en-US"/>
        </w:rPr>
        <w:t>A</w:t>
      </w:r>
      <w:r w:rsidRPr="00EE1ACD">
        <w:rPr>
          <w:i/>
        </w:rPr>
        <w:t xml:space="preserve">1 </w:t>
      </w:r>
      <w:r w:rsidRPr="00EE1ACD">
        <w:t>КАК МА</w:t>
      </w:r>
      <w:r w:rsidRPr="00EE1ACD">
        <w:t>Р</w:t>
      </w:r>
      <w:r w:rsidRPr="00EE1ACD">
        <w:t xml:space="preserve">КЕР ВЫСОКОГО РИСКА </w:t>
      </w:r>
      <w:r>
        <w:br/>
      </w:r>
      <w:r w:rsidRPr="00EE1ACD">
        <w:t>ВОЗНИКНОВЕНИЯ СИНДРОМА ЖИЛЬБЕРА</w:t>
      </w:r>
      <w:r>
        <w:t xml:space="preserve">: </w:t>
      </w:r>
      <w:r>
        <w:br/>
      </w:r>
      <w:r w:rsidRPr="00EE1ACD">
        <w:t>НАУЧНО-ПРИКЛАДНЫЕ А</w:t>
      </w:r>
      <w:r w:rsidRPr="00EE1ACD">
        <w:t>С</w:t>
      </w:r>
      <w:r w:rsidRPr="00EE1ACD">
        <w:t>ПЕКТЫ</w:t>
      </w:r>
      <w:r>
        <w:t>*</w:t>
      </w:r>
    </w:p>
    <w:p w:rsidR="00C92B98" w:rsidRDefault="00C92B98" w:rsidP="00C92B98">
      <w:pPr>
        <w:pStyle w:val="2"/>
      </w:pPr>
      <w:r w:rsidRPr="00EE1ACD">
        <w:t>А</w:t>
      </w:r>
      <w:r w:rsidRPr="00EE1ACD">
        <w:rPr>
          <w:caps/>
        </w:rPr>
        <w:t xml:space="preserve">.Н. </w:t>
      </w:r>
      <w:r w:rsidRPr="00EE1ACD">
        <w:t>Волков</w:t>
      </w:r>
      <w:r w:rsidRPr="00EE1ACD">
        <w:rPr>
          <w:caps/>
          <w:vertAlign w:val="superscript"/>
        </w:rPr>
        <w:t>1,2</w:t>
      </w:r>
      <w:r w:rsidRPr="00EE1ACD">
        <w:rPr>
          <w:caps/>
        </w:rPr>
        <w:t xml:space="preserve">, </w:t>
      </w:r>
      <w:r w:rsidRPr="00EE1ACD">
        <w:t>Е.В. Цуркан</w:t>
      </w:r>
      <w:r w:rsidRPr="00EE1ACD">
        <w:rPr>
          <w:caps/>
          <w:vertAlign w:val="superscript"/>
        </w:rPr>
        <w:t>2</w:t>
      </w:r>
    </w:p>
    <w:p w:rsidR="00C92B98" w:rsidRPr="008003B3" w:rsidRDefault="00C92B98" w:rsidP="00C92B98">
      <w:pPr>
        <w:pStyle w:val="3"/>
        <w:rPr>
          <w:spacing w:val="-2"/>
        </w:rPr>
      </w:pPr>
      <w:proofErr w:type="gramStart"/>
      <w:r w:rsidRPr="008003B3">
        <w:rPr>
          <w:spacing w:val="-2"/>
          <w:vertAlign w:val="superscript"/>
        </w:rPr>
        <w:t>1</w:t>
      </w:r>
      <w:r w:rsidRPr="008003B3">
        <w:rPr>
          <w:spacing w:val="-2"/>
        </w:rPr>
        <w:t xml:space="preserve">Кемеровский государственный медицинский университет, Россия, </w:t>
      </w:r>
      <w:r w:rsidRPr="008003B3">
        <w:rPr>
          <w:rFonts w:cs="Calibri"/>
          <w:spacing w:val="-2"/>
        </w:rPr>
        <w:t>650056,</w:t>
      </w:r>
      <w:r w:rsidRPr="008003B3">
        <w:rPr>
          <w:spacing w:val="-2"/>
        </w:rPr>
        <w:t xml:space="preserve"> г. Кемерово, ул. Ворошилова, 22А</w:t>
      </w:r>
      <w:r w:rsidRPr="008003B3">
        <w:rPr>
          <w:spacing w:val="-2"/>
        </w:rPr>
        <w:br/>
      </w:r>
      <w:r w:rsidRPr="008003B3">
        <w:rPr>
          <w:spacing w:val="-2"/>
          <w:vertAlign w:val="superscript"/>
        </w:rPr>
        <w:t>2</w:t>
      </w:r>
      <w:r w:rsidRPr="008003B3">
        <w:rPr>
          <w:spacing w:val="-2"/>
        </w:rPr>
        <w:t>Кемеровская областная клиническая больница, Россия, 650000, г. Кемерово, пр.</w:t>
      </w:r>
      <w:proofErr w:type="gramEnd"/>
      <w:r w:rsidRPr="008003B3">
        <w:rPr>
          <w:spacing w:val="-2"/>
        </w:rPr>
        <w:t xml:space="preserve"> Октябрьский, 22</w:t>
      </w:r>
    </w:p>
    <w:p w:rsidR="00C92B98" w:rsidRDefault="00C92B98" w:rsidP="00C92B98">
      <w:pPr>
        <w:pStyle w:val="a6"/>
        <w:rPr>
          <w:sz w:val="16"/>
          <w:szCs w:val="16"/>
        </w:rPr>
      </w:pPr>
    </w:p>
    <w:p w:rsidR="00C92B98" w:rsidRDefault="00C92B98" w:rsidP="00C92B98">
      <w:pPr>
        <w:pStyle w:val="a7"/>
      </w:pPr>
    </w:p>
    <w:p w:rsidR="00C92B98" w:rsidRPr="00FF7B46" w:rsidRDefault="00C92B98" w:rsidP="00C92B98">
      <w:pPr>
        <w:pStyle w:val="a7"/>
        <w:spacing w:line="233" w:lineRule="auto"/>
        <w:rPr>
          <w:iCs/>
          <w:spacing w:val="0"/>
        </w:rPr>
      </w:pPr>
      <w:r w:rsidRPr="00FF7B46">
        <w:rPr>
          <w:spacing w:val="0"/>
        </w:rPr>
        <w:t xml:space="preserve">Синдром </w:t>
      </w:r>
      <w:proofErr w:type="spellStart"/>
      <w:r w:rsidRPr="00FF7B46">
        <w:rPr>
          <w:spacing w:val="0"/>
        </w:rPr>
        <w:t>Жильбера</w:t>
      </w:r>
      <w:proofErr w:type="spellEnd"/>
      <w:r w:rsidRPr="00FF7B46">
        <w:rPr>
          <w:spacing w:val="0"/>
        </w:rPr>
        <w:t xml:space="preserve"> является распространенной </w:t>
      </w:r>
      <w:proofErr w:type="spellStart"/>
      <w:r w:rsidRPr="00FF7B46">
        <w:rPr>
          <w:spacing w:val="0"/>
        </w:rPr>
        <w:t>мультифакториальной</w:t>
      </w:r>
      <w:proofErr w:type="spellEnd"/>
      <w:r w:rsidRPr="00FF7B46">
        <w:rPr>
          <w:spacing w:val="0"/>
        </w:rPr>
        <w:t xml:space="preserve"> патологией с высокой степенью генетической детерминированности. Основной этиологический фактор заболевания – снижение активности печено</w:t>
      </w:r>
      <w:r w:rsidRPr="00FF7B46">
        <w:rPr>
          <w:spacing w:val="0"/>
        </w:rPr>
        <w:t>ч</w:t>
      </w:r>
      <w:r w:rsidRPr="00FF7B46">
        <w:rPr>
          <w:spacing w:val="0"/>
        </w:rPr>
        <w:t>ного фермента УДФ-</w:t>
      </w:r>
      <w:proofErr w:type="spellStart"/>
      <w:r w:rsidRPr="00FF7B46">
        <w:rPr>
          <w:spacing w:val="0"/>
        </w:rPr>
        <w:t>глюкуронилтрансферазы</w:t>
      </w:r>
      <w:proofErr w:type="spellEnd"/>
      <w:r w:rsidRPr="00FF7B46">
        <w:rPr>
          <w:spacing w:val="0"/>
        </w:rPr>
        <w:t xml:space="preserve"> </w:t>
      </w:r>
      <w:proofErr w:type="spellStart"/>
      <w:r w:rsidRPr="00FF7B46">
        <w:rPr>
          <w:spacing w:val="0"/>
        </w:rPr>
        <w:t>А</w:t>
      </w:r>
      <w:proofErr w:type="gramStart"/>
      <w:r w:rsidRPr="00FF7B46">
        <w:rPr>
          <w:spacing w:val="0"/>
        </w:rPr>
        <w:t>1</w:t>
      </w:r>
      <w:proofErr w:type="spellEnd"/>
      <w:proofErr w:type="gramEnd"/>
      <w:r w:rsidRPr="00FF7B46">
        <w:rPr>
          <w:spacing w:val="0"/>
        </w:rPr>
        <w:t xml:space="preserve"> вследствие мутаций в гене </w:t>
      </w:r>
      <w:r w:rsidRPr="00FF7B46">
        <w:rPr>
          <w:spacing w:val="0"/>
          <w:lang w:val="en-US"/>
        </w:rPr>
        <w:t>UGT</w:t>
      </w:r>
      <w:r w:rsidRPr="00FF7B46">
        <w:rPr>
          <w:spacing w:val="0"/>
        </w:rPr>
        <w:t>1</w:t>
      </w:r>
      <w:r w:rsidRPr="00FF7B46">
        <w:rPr>
          <w:spacing w:val="0"/>
          <w:lang w:val="en-US"/>
        </w:rPr>
        <w:t>A</w:t>
      </w:r>
      <w:r w:rsidRPr="00FF7B46">
        <w:rPr>
          <w:spacing w:val="0"/>
        </w:rPr>
        <w:t>1. Нарушение функции печени стан</w:t>
      </w:r>
      <w:r w:rsidRPr="00FF7B46">
        <w:rPr>
          <w:spacing w:val="0"/>
        </w:rPr>
        <w:t>о</w:t>
      </w:r>
      <w:r w:rsidRPr="00FF7B46">
        <w:rPr>
          <w:spacing w:val="0"/>
        </w:rPr>
        <w:t xml:space="preserve">вится причиной </w:t>
      </w:r>
      <w:proofErr w:type="spellStart"/>
      <w:r w:rsidRPr="00FF7B46">
        <w:rPr>
          <w:spacing w:val="0"/>
        </w:rPr>
        <w:t>диспептических</w:t>
      </w:r>
      <w:proofErr w:type="spellEnd"/>
      <w:r w:rsidRPr="00FF7B46">
        <w:rPr>
          <w:spacing w:val="0"/>
        </w:rPr>
        <w:t xml:space="preserve"> явлений и сопутствующих острых и хронических заболеваний пищеварительной с</w:t>
      </w:r>
      <w:r w:rsidRPr="00FF7B46">
        <w:rPr>
          <w:spacing w:val="0"/>
        </w:rPr>
        <w:t>и</w:t>
      </w:r>
      <w:r w:rsidRPr="00FF7B46">
        <w:rPr>
          <w:spacing w:val="0"/>
        </w:rPr>
        <w:t>стемы. Целью работы явилось обоснование необходимости и возможности осуществления массового обсл</w:t>
      </w:r>
      <w:r w:rsidRPr="00FF7B46">
        <w:rPr>
          <w:spacing w:val="0"/>
        </w:rPr>
        <w:t>е</w:t>
      </w:r>
      <w:r w:rsidRPr="00FF7B46">
        <w:rPr>
          <w:spacing w:val="0"/>
        </w:rPr>
        <w:t xml:space="preserve">дования населения на синдром </w:t>
      </w:r>
      <w:proofErr w:type="spellStart"/>
      <w:r w:rsidRPr="00FF7B46">
        <w:rPr>
          <w:spacing w:val="0"/>
        </w:rPr>
        <w:t>Жильбера</w:t>
      </w:r>
      <w:proofErr w:type="spellEnd"/>
      <w:r w:rsidRPr="00FF7B46">
        <w:rPr>
          <w:spacing w:val="0"/>
        </w:rPr>
        <w:t xml:space="preserve"> с использованием молекулярно-генетического анализа гена </w:t>
      </w:r>
      <w:r w:rsidRPr="00FF7B46">
        <w:rPr>
          <w:spacing w:val="0"/>
          <w:lang w:val="en-US"/>
        </w:rPr>
        <w:t>UGT</w:t>
      </w:r>
      <w:r w:rsidRPr="00FF7B46">
        <w:rPr>
          <w:spacing w:val="0"/>
        </w:rPr>
        <w:t>1</w:t>
      </w:r>
      <w:r w:rsidRPr="00FF7B46">
        <w:rPr>
          <w:spacing w:val="0"/>
          <w:lang w:val="en-US"/>
        </w:rPr>
        <w:t>A</w:t>
      </w:r>
      <w:r w:rsidRPr="00FF7B46">
        <w:rPr>
          <w:spacing w:val="0"/>
        </w:rPr>
        <w:t xml:space="preserve">1. </w:t>
      </w:r>
      <w:r w:rsidRPr="00FF7B46">
        <w:rPr>
          <w:iCs/>
          <w:spacing w:val="0"/>
        </w:rPr>
        <w:t>Проведено мол</w:t>
      </w:r>
      <w:r w:rsidRPr="00FF7B46">
        <w:rPr>
          <w:iCs/>
          <w:spacing w:val="0"/>
        </w:rPr>
        <w:t>е</w:t>
      </w:r>
      <w:r w:rsidRPr="00FF7B46">
        <w:rPr>
          <w:iCs/>
          <w:spacing w:val="0"/>
        </w:rPr>
        <w:t xml:space="preserve">кулярно-генетическое исследование маркера </w:t>
      </w:r>
      <w:proofErr w:type="spellStart"/>
      <w:r w:rsidRPr="00FF7B46">
        <w:rPr>
          <w:spacing w:val="0"/>
        </w:rPr>
        <w:t>rs8175347</w:t>
      </w:r>
      <w:proofErr w:type="spellEnd"/>
      <w:r w:rsidRPr="00FF7B46">
        <w:rPr>
          <w:iCs/>
          <w:spacing w:val="0"/>
        </w:rPr>
        <w:t xml:space="preserve"> </w:t>
      </w:r>
      <w:r w:rsidRPr="00FF7B46">
        <w:rPr>
          <w:spacing w:val="0"/>
        </w:rPr>
        <w:t xml:space="preserve">гена </w:t>
      </w:r>
      <w:r w:rsidRPr="00FF7B46">
        <w:rPr>
          <w:spacing w:val="0"/>
          <w:lang w:val="en-US"/>
        </w:rPr>
        <w:t>UGT</w:t>
      </w:r>
      <w:r w:rsidRPr="00FF7B46">
        <w:rPr>
          <w:spacing w:val="0"/>
        </w:rPr>
        <w:t>1</w:t>
      </w:r>
      <w:r w:rsidRPr="00FF7B46">
        <w:rPr>
          <w:spacing w:val="0"/>
          <w:lang w:val="en-US"/>
        </w:rPr>
        <w:t>A</w:t>
      </w:r>
      <w:r w:rsidRPr="00FF7B46">
        <w:rPr>
          <w:spacing w:val="0"/>
        </w:rPr>
        <w:t xml:space="preserve">1 </w:t>
      </w:r>
      <w:r w:rsidRPr="00FF7B46">
        <w:rPr>
          <w:iCs/>
          <w:spacing w:val="0"/>
        </w:rPr>
        <w:t>среди 132 жителей Кемеровской области (поп</w:t>
      </w:r>
      <w:r w:rsidRPr="00FF7B46">
        <w:rPr>
          <w:iCs/>
          <w:spacing w:val="0"/>
        </w:rPr>
        <w:t>у</w:t>
      </w:r>
      <w:r w:rsidRPr="00FF7B46">
        <w:rPr>
          <w:iCs/>
          <w:spacing w:val="0"/>
        </w:rPr>
        <w:t xml:space="preserve">ляционная выборка), а также среди 71 пациента с подозрением на наличие синдрома </w:t>
      </w:r>
      <w:proofErr w:type="spellStart"/>
      <w:r w:rsidRPr="00FF7B46">
        <w:rPr>
          <w:iCs/>
          <w:spacing w:val="0"/>
        </w:rPr>
        <w:t>Жильбера</w:t>
      </w:r>
      <w:proofErr w:type="spellEnd"/>
      <w:r w:rsidRPr="00FF7B46">
        <w:rPr>
          <w:iCs/>
          <w:spacing w:val="0"/>
        </w:rPr>
        <w:t xml:space="preserve"> (клиническая выборка).</w:t>
      </w:r>
    </w:p>
    <w:p w:rsidR="00C92B98" w:rsidRPr="00054032" w:rsidRDefault="00C92B98" w:rsidP="00C92B98">
      <w:pPr>
        <w:pStyle w:val="a7"/>
        <w:spacing w:line="233" w:lineRule="auto"/>
      </w:pPr>
      <w:r w:rsidRPr="00054032">
        <w:t xml:space="preserve">В популяционной выборке частота мутантного генотипа *28/*28 гена </w:t>
      </w:r>
      <w:r w:rsidRPr="00054032">
        <w:rPr>
          <w:lang w:val="en-US"/>
        </w:rPr>
        <w:t>UGT</w:t>
      </w:r>
      <w:r w:rsidRPr="00054032">
        <w:t>1</w:t>
      </w:r>
      <w:r w:rsidRPr="00054032">
        <w:rPr>
          <w:lang w:val="en-US"/>
        </w:rPr>
        <w:t>A</w:t>
      </w:r>
      <w:r w:rsidRPr="00054032">
        <w:t>1, ассоциированного с синдр</w:t>
      </w:r>
      <w:r w:rsidRPr="00054032">
        <w:t>о</w:t>
      </w:r>
      <w:r w:rsidRPr="00054032">
        <w:t xml:space="preserve">мом </w:t>
      </w:r>
      <w:proofErr w:type="spellStart"/>
      <w:r w:rsidRPr="00054032">
        <w:t>Жильбера</w:t>
      </w:r>
      <w:proofErr w:type="spellEnd"/>
      <w:r w:rsidRPr="00054032">
        <w:t>, составила 13,6 %, что сопоставимо с ранее опубликованными данными. Таким образом, значител</w:t>
      </w:r>
      <w:r w:rsidRPr="00054032">
        <w:t>ь</w:t>
      </w:r>
      <w:r w:rsidRPr="00054032">
        <w:t xml:space="preserve">ная часть населения включает потенциальных или уже выявленных больных синдромом </w:t>
      </w:r>
      <w:proofErr w:type="spellStart"/>
      <w:r w:rsidRPr="00054032">
        <w:t>Жильбера</w:t>
      </w:r>
      <w:proofErr w:type="spellEnd"/>
      <w:r w:rsidRPr="00054032">
        <w:t>. Анализ возрас</w:t>
      </w:r>
      <w:r w:rsidRPr="00054032">
        <w:t>т</w:t>
      </w:r>
      <w:r w:rsidRPr="00054032">
        <w:t>ного состава впервые выявленных пациентов клинической группы с генотипом *28/*28 показал широкий размах во</w:t>
      </w:r>
      <w:r w:rsidRPr="00054032">
        <w:t>з</w:t>
      </w:r>
      <w:r w:rsidRPr="00054032">
        <w:t xml:space="preserve">раста манифестации заболевания – от 4 до 71 года </w:t>
      </w:r>
      <w:r>
        <w:t xml:space="preserve">– </w:t>
      </w:r>
      <w:r w:rsidRPr="00054032">
        <w:t xml:space="preserve">с модальным значением возраста 15 лет. На основании полученных данных предлагается введение в медицинскую практику массового обследования на синдром </w:t>
      </w:r>
      <w:proofErr w:type="spellStart"/>
      <w:r w:rsidRPr="00054032">
        <w:t>Жильбера</w:t>
      </w:r>
      <w:proofErr w:type="spellEnd"/>
      <w:r w:rsidRPr="00054032">
        <w:t xml:space="preserve"> на </w:t>
      </w:r>
      <w:proofErr w:type="spellStart"/>
      <w:r w:rsidRPr="00054032">
        <w:t>донозологической</w:t>
      </w:r>
      <w:proofErr w:type="spellEnd"/>
      <w:r w:rsidRPr="00054032">
        <w:t xml:space="preserve"> стадии, в основу которого могут быть положены молекулярно-генетические технологии. В</w:t>
      </w:r>
      <w:r>
        <w:t> </w:t>
      </w:r>
      <w:r w:rsidRPr="00054032">
        <w:t>ра</w:t>
      </w:r>
      <w:r w:rsidRPr="003F1ABE">
        <w:rPr>
          <w:spacing w:val="0"/>
        </w:rPr>
        <w:t xml:space="preserve">мках развернутого медицинского обследования детей в возрасте 7 или 10 лет предлагается проводить </w:t>
      </w:r>
      <w:proofErr w:type="spellStart"/>
      <w:r w:rsidRPr="003F1ABE">
        <w:rPr>
          <w:spacing w:val="0"/>
        </w:rPr>
        <w:t>геноди</w:t>
      </w:r>
      <w:r w:rsidRPr="003F1ABE">
        <w:rPr>
          <w:spacing w:val="0"/>
        </w:rPr>
        <w:t>а</w:t>
      </w:r>
      <w:r w:rsidRPr="003F1ABE">
        <w:rPr>
          <w:spacing w:val="0"/>
        </w:rPr>
        <w:t>гностику</w:t>
      </w:r>
      <w:proofErr w:type="spellEnd"/>
      <w:r w:rsidRPr="003F1ABE">
        <w:rPr>
          <w:spacing w:val="0"/>
        </w:rPr>
        <w:t xml:space="preserve"> мутаций UGT1A1. Полученные генетические данные могут быть учтены врачами соответствующих медицинских направлений для определения дальнейших мероприятий по профилактике и терапии синдрома </w:t>
      </w:r>
      <w:proofErr w:type="spellStart"/>
      <w:r w:rsidRPr="003F1ABE">
        <w:rPr>
          <w:spacing w:val="0"/>
        </w:rPr>
        <w:t>Жильб</w:t>
      </w:r>
      <w:r w:rsidRPr="003F1ABE">
        <w:rPr>
          <w:spacing w:val="0"/>
        </w:rPr>
        <w:t>е</w:t>
      </w:r>
      <w:r w:rsidRPr="003F1ABE">
        <w:rPr>
          <w:spacing w:val="0"/>
        </w:rPr>
        <w:t>ра</w:t>
      </w:r>
      <w:proofErr w:type="spellEnd"/>
      <w:r w:rsidRPr="003F1ABE">
        <w:rPr>
          <w:spacing w:val="0"/>
        </w:rPr>
        <w:t>.</w:t>
      </w:r>
    </w:p>
    <w:p w:rsidR="00C92B98" w:rsidRPr="00054032" w:rsidRDefault="00C92B98" w:rsidP="00C92B98">
      <w:pPr>
        <w:pStyle w:val="a7"/>
        <w:spacing w:line="233" w:lineRule="auto"/>
      </w:pPr>
      <w:r w:rsidRPr="00054032">
        <w:rPr>
          <w:rFonts w:hint="eastAsia"/>
          <w:b/>
        </w:rPr>
        <w:t>Ключевые</w:t>
      </w:r>
      <w:r w:rsidRPr="00054032">
        <w:rPr>
          <w:b/>
        </w:rPr>
        <w:t xml:space="preserve"> </w:t>
      </w:r>
      <w:r w:rsidRPr="00054032">
        <w:rPr>
          <w:rFonts w:hint="eastAsia"/>
          <w:b/>
        </w:rPr>
        <w:t>слова</w:t>
      </w:r>
      <w:r w:rsidRPr="00054032">
        <w:rPr>
          <w:b/>
        </w:rPr>
        <w:t xml:space="preserve">: </w:t>
      </w:r>
      <w:r w:rsidRPr="00054032">
        <w:t xml:space="preserve">синдром </w:t>
      </w:r>
      <w:proofErr w:type="spellStart"/>
      <w:r w:rsidRPr="00054032">
        <w:t>Жильбера</w:t>
      </w:r>
      <w:proofErr w:type="spellEnd"/>
      <w:r w:rsidRPr="00054032">
        <w:t>, УДФ-</w:t>
      </w:r>
      <w:proofErr w:type="spellStart"/>
      <w:r w:rsidRPr="00054032">
        <w:t>глюкуронилтрансфераза</w:t>
      </w:r>
      <w:proofErr w:type="spellEnd"/>
      <w:r w:rsidRPr="00054032">
        <w:t xml:space="preserve"> </w:t>
      </w:r>
      <w:proofErr w:type="spellStart"/>
      <w:r w:rsidRPr="00054032">
        <w:t>А</w:t>
      </w:r>
      <w:proofErr w:type="gramStart"/>
      <w:r w:rsidRPr="00054032">
        <w:t>1</w:t>
      </w:r>
      <w:proofErr w:type="spellEnd"/>
      <w:proofErr w:type="gramEnd"/>
      <w:r w:rsidRPr="00054032">
        <w:t xml:space="preserve">, </w:t>
      </w:r>
      <w:r w:rsidRPr="00054032">
        <w:rPr>
          <w:lang w:val="en-US"/>
        </w:rPr>
        <w:t>UGT</w:t>
      </w:r>
      <w:r w:rsidRPr="00054032">
        <w:t>1</w:t>
      </w:r>
      <w:r w:rsidRPr="00054032">
        <w:rPr>
          <w:lang w:val="en-US"/>
        </w:rPr>
        <w:t>A</w:t>
      </w:r>
      <w:r w:rsidRPr="00054032">
        <w:t xml:space="preserve">1, </w:t>
      </w:r>
      <w:proofErr w:type="spellStart"/>
      <w:r w:rsidRPr="00054032">
        <w:t>rs8175347</w:t>
      </w:r>
      <w:proofErr w:type="spellEnd"/>
      <w:r w:rsidRPr="00054032">
        <w:t>, мутации в гене, генотип, молекулярно-генетическое исслед</w:t>
      </w:r>
      <w:r w:rsidRPr="00054032">
        <w:t>о</w:t>
      </w:r>
      <w:r w:rsidRPr="00054032">
        <w:t xml:space="preserve">вание, </w:t>
      </w:r>
      <w:proofErr w:type="spellStart"/>
      <w:r w:rsidRPr="00054032">
        <w:t>генодиагностика</w:t>
      </w:r>
      <w:proofErr w:type="spellEnd"/>
      <w:r w:rsidRPr="00054032">
        <w:t>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Pr="00380B11" w:rsidRDefault="00C92B98" w:rsidP="00C92B98">
      <w:pPr>
        <w:pStyle w:val="1"/>
      </w:pPr>
      <w:r>
        <w:t xml:space="preserve">ОСОБЕННОСТИ </w:t>
      </w:r>
      <w:r w:rsidRPr="00380B11">
        <w:t>КОМБИНИРОВАННОГО ДЕЙСТВИЯ</w:t>
      </w:r>
      <w:r>
        <w:t xml:space="preserve"> СМЕСИ</w:t>
      </w:r>
      <w:r w:rsidRPr="00414C4A">
        <w:t xml:space="preserve"> </w:t>
      </w:r>
      <w:r>
        <w:br/>
      </w:r>
      <w:r w:rsidRPr="00380B11">
        <w:t>ХИМИЧЕСКИХ А</w:t>
      </w:r>
      <w:r w:rsidRPr="00380B11">
        <w:t>Л</w:t>
      </w:r>
      <w:r w:rsidRPr="00380B11">
        <w:t>ЛЕРГЕНОВ</w:t>
      </w:r>
    </w:p>
    <w:p w:rsidR="00C92B98" w:rsidRDefault="00C92B98" w:rsidP="00C92B98">
      <w:pPr>
        <w:pStyle w:val="2"/>
      </w:pPr>
      <w:r w:rsidRPr="001C3EBB">
        <w:t>В.В.</w:t>
      </w:r>
      <w:r>
        <w:t xml:space="preserve"> </w:t>
      </w:r>
      <w:r w:rsidRPr="001C3EBB">
        <w:t>Шевляков</w:t>
      </w:r>
      <w:r>
        <w:t>, С.И. Сычик</w:t>
      </w:r>
    </w:p>
    <w:p w:rsidR="00C92B98" w:rsidRDefault="00C92B98" w:rsidP="00C92B98">
      <w:pPr>
        <w:pStyle w:val="3"/>
      </w:pPr>
      <w:r w:rsidRPr="008757AA">
        <w:t>Научно-практический центр г</w:t>
      </w:r>
      <w:r>
        <w:t>игиены</w:t>
      </w:r>
      <w:r w:rsidRPr="008757AA">
        <w:t xml:space="preserve">, Республика Беларусь, </w:t>
      </w:r>
      <w:r w:rsidRPr="002D3525">
        <w:t>220012</w:t>
      </w:r>
      <w:r>
        <w:t>,</w:t>
      </w:r>
      <w:r w:rsidRPr="002D3525">
        <w:t xml:space="preserve"> </w:t>
      </w:r>
      <w:r w:rsidRPr="008757AA">
        <w:t>г</w:t>
      </w:r>
      <w:r>
        <w:t>. Минск, ул. Академическая, 8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474F49" w:rsidRDefault="00C92B98" w:rsidP="00C92B98">
      <w:pPr>
        <w:pStyle w:val="a7"/>
        <w:rPr>
          <w:spacing w:val="0"/>
        </w:rPr>
      </w:pPr>
      <w:r w:rsidRPr="00474F49">
        <w:rPr>
          <w:spacing w:val="0"/>
        </w:rPr>
        <w:t>В оценке риска развития у работающих профессиональных аллергических заболеваний химической этиологии и обосновании их рациональной профилактики актуальной проблемой является выяснение характера, особенностей и</w:t>
      </w:r>
      <w:r>
        <w:rPr>
          <w:spacing w:val="0"/>
        </w:rPr>
        <w:t> </w:t>
      </w:r>
      <w:r w:rsidRPr="00474F49">
        <w:rPr>
          <w:spacing w:val="0"/>
        </w:rPr>
        <w:t>механизмов гипериммунного ответа при воздействии на организм смеси химических веществ с аллергическими и токсиче</w:t>
      </w:r>
      <w:r w:rsidRPr="00474F49">
        <w:rPr>
          <w:spacing w:val="0"/>
        </w:rPr>
        <w:softHyphen/>
        <w:t>скими свойствами разной выраженности. В экспериментальных исследованиях изучены аллергические сво</w:t>
      </w:r>
      <w:r w:rsidRPr="00474F49">
        <w:rPr>
          <w:spacing w:val="0"/>
        </w:rPr>
        <w:t>й</w:t>
      </w:r>
      <w:r w:rsidRPr="00474F49">
        <w:rPr>
          <w:spacing w:val="0"/>
        </w:rPr>
        <w:t>ства 57 различных химических композиций и их отдельных компонентов на моделях внутрикожного введения в стандартных дозах в ухо морским свинкам-альбиносам или в основание хвоста белым мышам в смеси с полным ад</w:t>
      </w:r>
      <w:r w:rsidRPr="00474F49">
        <w:rPr>
          <w:spacing w:val="0"/>
        </w:rPr>
        <w:t>ъ</w:t>
      </w:r>
      <w:r w:rsidRPr="00474F49">
        <w:rPr>
          <w:spacing w:val="0"/>
        </w:rPr>
        <w:t xml:space="preserve">ювантом </w:t>
      </w:r>
      <w:proofErr w:type="spellStart"/>
      <w:r w:rsidRPr="00474F49">
        <w:rPr>
          <w:spacing w:val="0"/>
        </w:rPr>
        <w:t>Фрейнда</w:t>
      </w:r>
      <w:proofErr w:type="spellEnd"/>
      <w:r w:rsidRPr="00474F49">
        <w:rPr>
          <w:spacing w:val="0"/>
        </w:rPr>
        <w:t>. Полученные результаты позволили заключить, что выраженность аллергенной активности смеси химических веществ опре</w:t>
      </w:r>
      <w:r w:rsidRPr="00474F49">
        <w:rPr>
          <w:spacing w:val="0"/>
        </w:rPr>
        <w:softHyphen/>
        <w:t>деляется как степенью проявления аллергических свойств отдельных компонентов, так и</w:t>
      </w:r>
      <w:r>
        <w:rPr>
          <w:spacing w:val="0"/>
        </w:rPr>
        <w:t> </w:t>
      </w:r>
      <w:r w:rsidRPr="00474F49">
        <w:rPr>
          <w:spacing w:val="0"/>
        </w:rPr>
        <w:t xml:space="preserve">характером </w:t>
      </w:r>
      <w:proofErr w:type="spellStart"/>
      <w:r w:rsidRPr="00474F49">
        <w:rPr>
          <w:spacing w:val="0"/>
        </w:rPr>
        <w:t>аддитивности</w:t>
      </w:r>
      <w:proofErr w:type="spellEnd"/>
      <w:r w:rsidRPr="00474F49">
        <w:rPr>
          <w:spacing w:val="0"/>
        </w:rPr>
        <w:t xml:space="preserve"> их иммуномодули</w:t>
      </w:r>
      <w:r w:rsidRPr="00474F49">
        <w:rPr>
          <w:spacing w:val="0"/>
        </w:rPr>
        <w:softHyphen/>
        <w:t>рующих эффектов при комбинированном воздействии на организм. Да</w:t>
      </w:r>
      <w:r w:rsidRPr="00474F49">
        <w:rPr>
          <w:spacing w:val="0"/>
        </w:rPr>
        <w:t>н</w:t>
      </w:r>
      <w:r w:rsidRPr="00474F49">
        <w:rPr>
          <w:spacing w:val="0"/>
        </w:rPr>
        <w:t xml:space="preserve">ные эффекты закономерно зависят от сочетания в смеси аллергенов разной силы, их содержания и количественного соотношения, наличия в смеси веществ с неспецифическими </w:t>
      </w:r>
      <w:proofErr w:type="spellStart"/>
      <w:r w:rsidRPr="00474F49">
        <w:rPr>
          <w:spacing w:val="0"/>
        </w:rPr>
        <w:t>адъювантными</w:t>
      </w:r>
      <w:proofErr w:type="spellEnd"/>
      <w:r w:rsidRPr="00474F49">
        <w:rPr>
          <w:spacing w:val="0"/>
        </w:rPr>
        <w:t xml:space="preserve"> и токсическими свойствами. Причем ко</w:t>
      </w:r>
      <w:r w:rsidRPr="00474F49">
        <w:rPr>
          <w:spacing w:val="0"/>
        </w:rPr>
        <w:t>м</w:t>
      </w:r>
      <w:r w:rsidRPr="00474F49">
        <w:rPr>
          <w:spacing w:val="0"/>
        </w:rPr>
        <w:t>бинированное аллергическое действие смеси химических веществ, содержащей сильные и выраже</w:t>
      </w:r>
      <w:r w:rsidRPr="00474F49">
        <w:rPr>
          <w:spacing w:val="0"/>
        </w:rPr>
        <w:t>н</w:t>
      </w:r>
      <w:r w:rsidRPr="00474F49">
        <w:rPr>
          <w:spacing w:val="0"/>
        </w:rPr>
        <w:t xml:space="preserve">ные химические аллергены с их высоким содержанием, имеет характер усиления </w:t>
      </w:r>
      <w:proofErr w:type="spellStart"/>
      <w:r w:rsidRPr="00474F49">
        <w:rPr>
          <w:spacing w:val="0"/>
        </w:rPr>
        <w:t>гиперергического</w:t>
      </w:r>
      <w:proofErr w:type="spellEnd"/>
      <w:r w:rsidRPr="00474F49">
        <w:rPr>
          <w:spacing w:val="0"/>
        </w:rPr>
        <w:t xml:space="preserve"> иммунного ответа (потенциров</w:t>
      </w:r>
      <w:r w:rsidRPr="00474F49">
        <w:rPr>
          <w:spacing w:val="0"/>
        </w:rPr>
        <w:t>а</w:t>
      </w:r>
      <w:r w:rsidRPr="00474F49">
        <w:rPr>
          <w:spacing w:val="0"/>
        </w:rPr>
        <w:t>ние) между ними и на более слабые аллергенные компоненты. В реализации преимущественно потенцирующего комб</w:t>
      </w:r>
      <w:r w:rsidRPr="00474F49">
        <w:rPr>
          <w:spacing w:val="0"/>
        </w:rPr>
        <w:t>и</w:t>
      </w:r>
      <w:r w:rsidRPr="00474F49">
        <w:rPr>
          <w:spacing w:val="0"/>
        </w:rPr>
        <w:t>нированного аллергического действия смеси химических веществ на организм задействованы одновременно взаимосв</w:t>
      </w:r>
      <w:r w:rsidRPr="00474F49">
        <w:rPr>
          <w:spacing w:val="0"/>
        </w:rPr>
        <w:t>я</w:t>
      </w:r>
      <w:r w:rsidRPr="00474F49">
        <w:rPr>
          <w:spacing w:val="0"/>
        </w:rPr>
        <w:t xml:space="preserve">занные механизмы специфической (отмена толерантности к </w:t>
      </w:r>
      <w:proofErr w:type="spellStart"/>
      <w:r w:rsidRPr="00474F49">
        <w:rPr>
          <w:spacing w:val="0"/>
        </w:rPr>
        <w:t>эпитопам</w:t>
      </w:r>
      <w:proofErr w:type="spellEnd"/>
      <w:r w:rsidRPr="00474F49">
        <w:rPr>
          <w:spacing w:val="0"/>
        </w:rPr>
        <w:t xml:space="preserve"> </w:t>
      </w:r>
      <w:proofErr w:type="spellStart"/>
      <w:r w:rsidRPr="00474F49">
        <w:rPr>
          <w:spacing w:val="0"/>
        </w:rPr>
        <w:t>конъюгата</w:t>
      </w:r>
      <w:proofErr w:type="spellEnd"/>
      <w:r w:rsidRPr="00474F49">
        <w:rPr>
          <w:spacing w:val="0"/>
        </w:rPr>
        <w:t xml:space="preserve"> и модифицированного белка-носителя, формирование перекрестно реагирующих антигенных детерминант и др.) и неспецифической иммуно</w:t>
      </w:r>
      <w:r w:rsidRPr="00474F49">
        <w:rPr>
          <w:spacing w:val="0"/>
        </w:rPr>
        <w:softHyphen/>
        <w:t>модуляции (</w:t>
      </w:r>
      <w:proofErr w:type="spellStart"/>
      <w:r w:rsidRPr="00474F49">
        <w:rPr>
          <w:spacing w:val="0"/>
        </w:rPr>
        <w:t>ад</w:t>
      </w:r>
      <w:r>
        <w:rPr>
          <w:spacing w:val="0"/>
        </w:rPr>
        <w:t>ъ</w:t>
      </w:r>
      <w:r w:rsidRPr="00474F49">
        <w:rPr>
          <w:spacing w:val="0"/>
        </w:rPr>
        <w:t>ювантное</w:t>
      </w:r>
      <w:proofErr w:type="spellEnd"/>
      <w:r w:rsidRPr="00474F49">
        <w:rPr>
          <w:spacing w:val="0"/>
        </w:rPr>
        <w:t xml:space="preserve">, </w:t>
      </w:r>
      <w:proofErr w:type="spellStart"/>
      <w:r w:rsidRPr="00474F49">
        <w:rPr>
          <w:spacing w:val="0"/>
        </w:rPr>
        <w:t>разражающее</w:t>
      </w:r>
      <w:proofErr w:type="spellEnd"/>
      <w:r w:rsidRPr="00474F49">
        <w:rPr>
          <w:spacing w:val="0"/>
        </w:rPr>
        <w:t xml:space="preserve"> и </w:t>
      </w:r>
      <w:proofErr w:type="spellStart"/>
      <w:r w:rsidRPr="00474F49">
        <w:rPr>
          <w:spacing w:val="0"/>
        </w:rPr>
        <w:t>иммунотоксическое</w:t>
      </w:r>
      <w:proofErr w:type="spellEnd"/>
      <w:r w:rsidRPr="00474F49">
        <w:rPr>
          <w:spacing w:val="0"/>
        </w:rPr>
        <w:t xml:space="preserve"> действие химических компонентов смеси).</w:t>
      </w:r>
    </w:p>
    <w:p w:rsidR="00C92B98" w:rsidRDefault="00C92B98" w:rsidP="00C92B98">
      <w:pPr>
        <w:pStyle w:val="a7"/>
      </w:pPr>
      <w:r w:rsidRPr="0008680D">
        <w:rPr>
          <w:b/>
        </w:rPr>
        <w:t>Ключевые слова</w:t>
      </w:r>
      <w:r>
        <w:t xml:space="preserve">: </w:t>
      </w:r>
      <w:r w:rsidRPr="00964BF6">
        <w:t>смесь химических веществ, аллергены, аллергические заболевания, механизмы гипериммунн</w:t>
      </w:r>
      <w:r w:rsidRPr="00964BF6">
        <w:t>о</w:t>
      </w:r>
      <w:r w:rsidRPr="00964BF6">
        <w:t>го ответа, характер аллергических процессов в организме на воздействие смеси химических веществ, специфич</w:t>
      </w:r>
      <w:r w:rsidRPr="00964BF6">
        <w:t>е</w:t>
      </w:r>
      <w:r w:rsidRPr="00964BF6">
        <w:t>ские и неспецифические иммунные механизмы, комбинированное действие.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Pr="00F42D8B" w:rsidRDefault="00C92B98" w:rsidP="00C92B98">
      <w:pPr>
        <w:pStyle w:val="1"/>
        <w:rPr>
          <w:rFonts w:eastAsia="Times New Roman"/>
        </w:rPr>
      </w:pPr>
      <w:r w:rsidRPr="00F42D8B">
        <w:rPr>
          <w:shd w:val="clear" w:color="auto" w:fill="FFFFFF"/>
        </w:rPr>
        <w:lastRenderedPageBreak/>
        <w:t>ОЦЕНКА РИСКА НЕБЛАГОПРИЯТНОГО ТЕЧЕНИЯ ЯЗВЕННОГО КОЛИТА С</w:t>
      </w:r>
      <w:r>
        <w:rPr>
          <w:shd w:val="clear" w:color="auto" w:fill="FFFFFF"/>
        </w:rPr>
        <w:t> </w:t>
      </w:r>
      <w:r w:rsidRPr="00F42D8B">
        <w:rPr>
          <w:shd w:val="clear" w:color="auto" w:fill="FFFFFF"/>
        </w:rPr>
        <w:t xml:space="preserve">ИСПОЛЬЗОВАНИЕМ </w:t>
      </w:r>
      <w:proofErr w:type="gramStart"/>
      <w:r w:rsidRPr="00F42D8B">
        <w:rPr>
          <w:shd w:val="clear" w:color="auto" w:fill="FFFFFF"/>
        </w:rPr>
        <w:t>ОПРЕДЕЛЕНИЯ</w:t>
      </w:r>
      <w:r w:rsidRPr="00F42D8B">
        <w:rPr>
          <w:rFonts w:ascii="Arial" w:hAnsi="Arial"/>
          <w:shd w:val="clear" w:color="auto" w:fill="FFFFFF"/>
        </w:rPr>
        <w:t xml:space="preserve"> </w:t>
      </w:r>
      <w:r w:rsidRPr="00F42D8B">
        <w:t>ПОЛИМОРФИЗМА ГЕНА ФАКТОРА НЕКРОЗА ОПУХОЛИ</w:t>
      </w:r>
      <w:proofErr w:type="gramEnd"/>
      <w:r w:rsidRPr="00F42D8B">
        <w:t xml:space="preserve"> АЛЬФА</w:t>
      </w:r>
    </w:p>
    <w:p w:rsidR="00C92B98" w:rsidRPr="00F42D8B" w:rsidRDefault="00C92B98" w:rsidP="00C92B98">
      <w:pPr>
        <w:pStyle w:val="2"/>
      </w:pPr>
      <w:r w:rsidRPr="00F42D8B">
        <w:t>Ю.И. Третьякова</w:t>
      </w:r>
      <w:r w:rsidRPr="00F42D8B">
        <w:rPr>
          <w:vertAlign w:val="superscript"/>
        </w:rPr>
        <w:t>1</w:t>
      </w:r>
      <w:r w:rsidRPr="00F42D8B">
        <w:t>, А.П.</w:t>
      </w:r>
      <w:r w:rsidRPr="00F42D8B">
        <w:rPr>
          <w:vertAlign w:val="superscript"/>
        </w:rPr>
        <w:t xml:space="preserve"> </w:t>
      </w:r>
      <w:r w:rsidRPr="00F42D8B">
        <w:t>Щекотова</w:t>
      </w:r>
      <w:r w:rsidRPr="00F42D8B">
        <w:rPr>
          <w:vertAlign w:val="superscript"/>
        </w:rPr>
        <w:t>1</w:t>
      </w:r>
      <w:r w:rsidRPr="00F42D8B">
        <w:t>, И.А. Булатова</w:t>
      </w:r>
      <w:r w:rsidRPr="00F42D8B">
        <w:rPr>
          <w:vertAlign w:val="superscript"/>
        </w:rPr>
        <w:t>1</w:t>
      </w:r>
      <w:r w:rsidRPr="00F42D8B">
        <w:t>, А.В. Кривцов</w:t>
      </w:r>
      <w:r w:rsidRPr="00F42D8B">
        <w:rPr>
          <w:vertAlign w:val="superscript"/>
        </w:rPr>
        <w:t>2</w:t>
      </w:r>
    </w:p>
    <w:p w:rsidR="00C92B98" w:rsidRDefault="00C92B98" w:rsidP="00C92B98">
      <w:pPr>
        <w:pStyle w:val="3"/>
      </w:pPr>
      <w:r w:rsidRPr="00F42D8B">
        <w:rPr>
          <w:vertAlign w:val="superscript"/>
        </w:rPr>
        <w:t>1</w:t>
      </w:r>
      <w:r w:rsidRPr="00F42D8B">
        <w:t xml:space="preserve">Пермский государственный медицинский университет имени академика Е.А. Вагнера Минздрава России, Россия, 614990, г. Пермь, </w:t>
      </w:r>
      <w:r w:rsidRPr="00F42D8B">
        <w:rPr>
          <w:rFonts w:ascii="Times New Roman CYR" w:hAnsi="Times New Roman CYR" w:cs="Times New Roman CYR"/>
        </w:rPr>
        <w:t>ул. Петропавло</w:t>
      </w:r>
      <w:r w:rsidRPr="00F42D8B">
        <w:rPr>
          <w:rFonts w:ascii="Times New Roman CYR" w:hAnsi="Times New Roman CYR" w:cs="Times New Roman CYR"/>
        </w:rPr>
        <w:t>в</w:t>
      </w:r>
      <w:r w:rsidRPr="00F42D8B">
        <w:rPr>
          <w:rFonts w:ascii="Times New Roman CYR" w:hAnsi="Times New Roman CYR" w:cs="Times New Roman CYR"/>
        </w:rPr>
        <w:t>ская, 26</w:t>
      </w:r>
      <w:r>
        <w:rPr>
          <w:rFonts w:ascii="Times New Roman CYR" w:hAnsi="Times New Roman CYR" w:cs="Times New Roman CYR"/>
        </w:rPr>
        <w:br/>
      </w:r>
      <w:r w:rsidRPr="00F42D8B">
        <w:rPr>
          <w:vertAlign w:val="superscript"/>
        </w:rPr>
        <w:t>2</w:t>
      </w:r>
      <w:r w:rsidRPr="00F42D8B">
        <w:t>Федеральный научный центр медико-профилактических технологий управления рисками здоровь</w:t>
      </w:r>
      <w:r>
        <w:t>ю</w:t>
      </w:r>
      <w:r w:rsidRPr="00F42D8B">
        <w:t xml:space="preserve"> населени</w:t>
      </w:r>
      <w:r>
        <w:t>я</w:t>
      </w:r>
      <w:r w:rsidRPr="00F42D8B">
        <w:rPr>
          <w:rFonts w:eastAsia="TimesNewRomanPSMT"/>
        </w:rPr>
        <w:t>, Россия, 614045 г. Пермь, ул. Монастырская, 82</w:t>
      </w:r>
    </w:p>
    <w:p w:rsidR="00C92B98" w:rsidRPr="008D3BDD" w:rsidRDefault="00C92B98" w:rsidP="00C92B98">
      <w:pPr>
        <w:pStyle w:val="a6"/>
        <w:rPr>
          <w:sz w:val="16"/>
          <w:szCs w:val="16"/>
        </w:rPr>
      </w:pPr>
    </w:p>
    <w:p w:rsidR="00C92B98" w:rsidRPr="008D3BDD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F42D8B" w:rsidRDefault="00C92B98" w:rsidP="00C92B98">
      <w:pPr>
        <w:pStyle w:val="a7"/>
        <w:rPr>
          <w:iCs/>
        </w:rPr>
      </w:pPr>
      <w:r w:rsidRPr="00F42D8B">
        <w:rPr>
          <w:lang w:eastAsia="ru-RU"/>
        </w:rPr>
        <w:t>Цель исследования заключалась в о</w:t>
      </w:r>
      <w:r w:rsidRPr="00F42D8B">
        <w:t xml:space="preserve">ценке функциональной </w:t>
      </w:r>
      <w:proofErr w:type="gramStart"/>
      <w:r w:rsidRPr="00F42D8B">
        <w:t xml:space="preserve">значимости полиморфизма гена </w:t>
      </w:r>
      <w:r w:rsidRPr="00F42D8B">
        <w:rPr>
          <w:lang w:eastAsia="ru-RU"/>
        </w:rPr>
        <w:t>фактора некроза опухоли</w:t>
      </w:r>
      <w:proofErr w:type="gramEnd"/>
      <w:r w:rsidRPr="00F42D8B">
        <w:rPr>
          <w:lang w:eastAsia="ru-RU"/>
        </w:rPr>
        <w:t xml:space="preserve"> альфа (</w:t>
      </w:r>
      <w:r w:rsidRPr="00F42D8B">
        <w:t>TNF-α) в регионе -</w:t>
      </w:r>
      <w:proofErr w:type="spellStart"/>
      <w:r w:rsidRPr="00F42D8B">
        <w:t>308G</w:t>
      </w:r>
      <w:proofErr w:type="spellEnd"/>
      <w:r w:rsidRPr="00F42D8B">
        <w:t>/A (</w:t>
      </w:r>
      <w:proofErr w:type="spellStart"/>
      <w:r w:rsidRPr="00F42D8B">
        <w:rPr>
          <w:lang w:val="en-US"/>
        </w:rPr>
        <w:t>rs</w:t>
      </w:r>
      <w:proofErr w:type="spellEnd"/>
      <w:r w:rsidRPr="00F42D8B">
        <w:t>1800629) в пр</w:t>
      </w:r>
      <w:r w:rsidRPr="00F42D8B">
        <w:t>о</w:t>
      </w:r>
      <w:r w:rsidRPr="00F42D8B">
        <w:t>грессировании язвенного колита.</w:t>
      </w:r>
    </w:p>
    <w:p w:rsidR="00C92B98" w:rsidRPr="00A86380" w:rsidRDefault="00C92B98" w:rsidP="00C92B98">
      <w:pPr>
        <w:pStyle w:val="a7"/>
        <w:rPr>
          <w:spacing w:val="4"/>
        </w:rPr>
      </w:pPr>
      <w:r w:rsidRPr="00A86380">
        <w:rPr>
          <w:spacing w:val="4"/>
        </w:rPr>
        <w:t xml:space="preserve">Обследованы 70 больных язвенным колитом в период активной фазы заболевания и 50 здоровых доноров. Исследовали </w:t>
      </w:r>
      <w:r w:rsidRPr="00A86380">
        <w:rPr>
          <w:spacing w:val="4"/>
          <w:lang w:eastAsia="ru-RU"/>
        </w:rPr>
        <w:t xml:space="preserve">концентрацию </w:t>
      </w:r>
      <w:r w:rsidRPr="00A86380">
        <w:rPr>
          <w:spacing w:val="4"/>
          <w:lang w:val="en-US"/>
        </w:rPr>
        <w:t>TNF</w:t>
      </w:r>
      <w:r w:rsidRPr="00A86380">
        <w:rPr>
          <w:spacing w:val="4"/>
        </w:rPr>
        <w:t>-α в сыворотке крови и полимо</w:t>
      </w:r>
      <w:r w:rsidRPr="00A86380">
        <w:rPr>
          <w:spacing w:val="4"/>
        </w:rPr>
        <w:t>р</w:t>
      </w:r>
      <w:r w:rsidRPr="00A86380">
        <w:rPr>
          <w:spacing w:val="4"/>
        </w:rPr>
        <w:t xml:space="preserve">физм гена </w:t>
      </w:r>
      <w:r w:rsidRPr="00A86380">
        <w:rPr>
          <w:spacing w:val="4"/>
          <w:lang w:val="en-US"/>
        </w:rPr>
        <w:t>TNF</w:t>
      </w:r>
      <w:r w:rsidRPr="00A86380">
        <w:rPr>
          <w:spacing w:val="4"/>
        </w:rPr>
        <w:t>-α в регионе -</w:t>
      </w:r>
      <w:proofErr w:type="spellStart"/>
      <w:r w:rsidRPr="00A86380">
        <w:rPr>
          <w:spacing w:val="4"/>
        </w:rPr>
        <w:t>308G</w:t>
      </w:r>
      <w:proofErr w:type="spellEnd"/>
      <w:r w:rsidRPr="00A86380">
        <w:rPr>
          <w:spacing w:val="4"/>
        </w:rPr>
        <w:t>/А.</w:t>
      </w:r>
    </w:p>
    <w:p w:rsidR="00C92B98" w:rsidRPr="00FE2D1F" w:rsidRDefault="00C92B98" w:rsidP="00C92B98">
      <w:pPr>
        <w:pStyle w:val="a7"/>
        <w:rPr>
          <w:spacing w:val="0"/>
          <w:szCs w:val="18"/>
        </w:rPr>
      </w:pPr>
      <w:r w:rsidRPr="00FE2D1F">
        <w:rPr>
          <w:spacing w:val="0"/>
          <w:szCs w:val="18"/>
        </w:rPr>
        <w:t xml:space="preserve">Установлено, что уровень </w:t>
      </w:r>
      <w:r w:rsidRPr="00FE2D1F">
        <w:rPr>
          <w:spacing w:val="0"/>
          <w:szCs w:val="18"/>
          <w:lang w:val="en-US"/>
        </w:rPr>
        <w:t>TNF</w:t>
      </w:r>
      <w:r w:rsidRPr="00FE2D1F">
        <w:rPr>
          <w:spacing w:val="0"/>
          <w:szCs w:val="18"/>
        </w:rPr>
        <w:t>-α у больных язвенным колитом с тяжелым течением и высокой эндоскопич</w:t>
      </w:r>
      <w:r w:rsidRPr="00FE2D1F">
        <w:rPr>
          <w:spacing w:val="0"/>
          <w:szCs w:val="18"/>
        </w:rPr>
        <w:t>е</w:t>
      </w:r>
      <w:r w:rsidRPr="00FE2D1F">
        <w:rPr>
          <w:spacing w:val="0"/>
          <w:szCs w:val="18"/>
        </w:rPr>
        <w:t>ской активностью достоверно превышал значения, полученные у лиц с низкой степенью эндоскопической активности и</w:t>
      </w:r>
      <w:r>
        <w:rPr>
          <w:spacing w:val="0"/>
          <w:szCs w:val="18"/>
        </w:rPr>
        <w:t> </w:t>
      </w:r>
      <w:r w:rsidRPr="00FE2D1F">
        <w:rPr>
          <w:spacing w:val="0"/>
          <w:szCs w:val="18"/>
        </w:rPr>
        <w:t>атакой легкой и средней степени тяжести. Это позволяет использовать данные тесты в качестве дополн</w:t>
      </w:r>
      <w:r w:rsidRPr="00FE2D1F">
        <w:rPr>
          <w:spacing w:val="0"/>
          <w:szCs w:val="18"/>
        </w:rPr>
        <w:t>и</w:t>
      </w:r>
      <w:r w:rsidRPr="00FE2D1F">
        <w:rPr>
          <w:spacing w:val="0"/>
          <w:szCs w:val="18"/>
        </w:rPr>
        <w:t xml:space="preserve">тельных </w:t>
      </w:r>
      <w:proofErr w:type="spellStart"/>
      <w:r w:rsidRPr="00FE2D1F">
        <w:rPr>
          <w:spacing w:val="0"/>
          <w:szCs w:val="18"/>
        </w:rPr>
        <w:t>неинвазивных</w:t>
      </w:r>
      <w:proofErr w:type="spellEnd"/>
      <w:r w:rsidRPr="00FE2D1F">
        <w:rPr>
          <w:spacing w:val="0"/>
          <w:szCs w:val="18"/>
        </w:rPr>
        <w:t xml:space="preserve"> маркеров для оценки степени выраженности поражения слизистой толстой кишки при язвенном кол</w:t>
      </w:r>
      <w:r w:rsidRPr="00FE2D1F">
        <w:rPr>
          <w:spacing w:val="0"/>
          <w:szCs w:val="18"/>
        </w:rPr>
        <w:t>и</w:t>
      </w:r>
      <w:r w:rsidRPr="00FE2D1F">
        <w:rPr>
          <w:spacing w:val="0"/>
          <w:szCs w:val="18"/>
        </w:rPr>
        <w:t>те. Оценка встречаемости аллельных вариаций гена</w:t>
      </w:r>
      <w:r w:rsidRPr="00FE2D1F">
        <w:rPr>
          <w:iCs/>
          <w:spacing w:val="0"/>
          <w:szCs w:val="18"/>
        </w:rPr>
        <w:t xml:space="preserve"> </w:t>
      </w:r>
      <w:r w:rsidRPr="00FE2D1F">
        <w:rPr>
          <w:spacing w:val="0"/>
          <w:szCs w:val="18"/>
        </w:rPr>
        <w:t>TNF-α-</w:t>
      </w:r>
      <w:proofErr w:type="spellStart"/>
      <w:r w:rsidRPr="00FE2D1F">
        <w:rPr>
          <w:spacing w:val="0"/>
          <w:szCs w:val="18"/>
        </w:rPr>
        <w:t>308G</w:t>
      </w:r>
      <w:proofErr w:type="spellEnd"/>
      <w:r w:rsidRPr="00FE2D1F">
        <w:rPr>
          <w:spacing w:val="0"/>
          <w:szCs w:val="18"/>
        </w:rPr>
        <w:t>/A (</w:t>
      </w:r>
      <w:proofErr w:type="spellStart"/>
      <w:r w:rsidRPr="00FE2D1F">
        <w:rPr>
          <w:spacing w:val="0"/>
          <w:szCs w:val="18"/>
        </w:rPr>
        <w:t>rs1800629</w:t>
      </w:r>
      <w:proofErr w:type="spellEnd"/>
      <w:r w:rsidRPr="00FE2D1F">
        <w:rPr>
          <w:spacing w:val="0"/>
          <w:szCs w:val="18"/>
        </w:rPr>
        <w:t xml:space="preserve">) показала, что неблагоприятная </w:t>
      </w:r>
      <w:proofErr w:type="spellStart"/>
      <w:r w:rsidRPr="00FE2D1F">
        <w:rPr>
          <w:spacing w:val="0"/>
          <w:szCs w:val="18"/>
        </w:rPr>
        <w:t>гом</w:t>
      </w:r>
      <w:r w:rsidRPr="00FE2D1F">
        <w:rPr>
          <w:spacing w:val="0"/>
          <w:szCs w:val="18"/>
        </w:rPr>
        <w:t>о</w:t>
      </w:r>
      <w:r w:rsidRPr="00FE2D1F">
        <w:rPr>
          <w:spacing w:val="0"/>
          <w:szCs w:val="18"/>
        </w:rPr>
        <w:t>зигота</w:t>
      </w:r>
      <w:proofErr w:type="spellEnd"/>
      <w:r w:rsidRPr="00FE2D1F">
        <w:rPr>
          <w:spacing w:val="0"/>
          <w:szCs w:val="18"/>
        </w:rPr>
        <w:t xml:space="preserve"> АА значимо чаще обнаруживается среди пациентов </w:t>
      </w:r>
      <w:proofErr w:type="gramStart"/>
      <w:r w:rsidRPr="00FE2D1F">
        <w:rPr>
          <w:spacing w:val="0"/>
          <w:szCs w:val="18"/>
        </w:rPr>
        <w:t>с</w:t>
      </w:r>
      <w:proofErr w:type="gramEnd"/>
      <w:r w:rsidRPr="00FE2D1F">
        <w:rPr>
          <w:spacing w:val="0"/>
          <w:szCs w:val="18"/>
        </w:rPr>
        <w:t xml:space="preserve"> </w:t>
      </w:r>
      <w:proofErr w:type="gramStart"/>
      <w:r w:rsidRPr="00FE2D1F">
        <w:rPr>
          <w:spacing w:val="0"/>
          <w:szCs w:val="18"/>
        </w:rPr>
        <w:t>ЯК</w:t>
      </w:r>
      <w:proofErr w:type="gramEnd"/>
      <w:r w:rsidRPr="00FE2D1F">
        <w:rPr>
          <w:spacing w:val="0"/>
          <w:szCs w:val="18"/>
        </w:rPr>
        <w:t>, чем в популяции доноров. Кроме того, при разной эндоскопической активности ЯК мажорный аллель G и аллельная пара GG знач</w:t>
      </w:r>
      <w:r w:rsidRPr="00FE2D1F">
        <w:rPr>
          <w:spacing w:val="0"/>
          <w:szCs w:val="18"/>
        </w:rPr>
        <w:t>и</w:t>
      </w:r>
      <w:r w:rsidRPr="00FE2D1F">
        <w:rPr>
          <w:spacing w:val="0"/>
          <w:szCs w:val="18"/>
        </w:rPr>
        <w:t>мо чаще обнаруживались в группе пациентов с легкой и среднетяжелой атакой и 1–2-й степенью эндоскопической активн</w:t>
      </w:r>
      <w:r w:rsidRPr="00FE2D1F">
        <w:rPr>
          <w:spacing w:val="0"/>
          <w:szCs w:val="18"/>
        </w:rPr>
        <w:t>о</w:t>
      </w:r>
      <w:r w:rsidRPr="00FE2D1F">
        <w:rPr>
          <w:spacing w:val="0"/>
          <w:szCs w:val="18"/>
        </w:rPr>
        <w:t xml:space="preserve">сти, чем в группе </w:t>
      </w:r>
      <w:r>
        <w:rPr>
          <w:spacing w:val="0"/>
          <w:szCs w:val="18"/>
        </w:rPr>
        <w:br/>
      </w:r>
      <w:r w:rsidRPr="00FE2D1F">
        <w:rPr>
          <w:spacing w:val="0"/>
          <w:szCs w:val="18"/>
        </w:rPr>
        <w:t>с 3–4-й степенью и тяжелой атакой язвенного колита (</w:t>
      </w:r>
      <w:proofErr w:type="spellStart"/>
      <w:r w:rsidRPr="00FE2D1F">
        <w:rPr>
          <w:spacing w:val="0"/>
          <w:szCs w:val="18"/>
        </w:rPr>
        <w:t>χ</w:t>
      </w:r>
      <w:r w:rsidRPr="00FE2D1F">
        <w:rPr>
          <w:spacing w:val="0"/>
          <w:szCs w:val="18"/>
          <w:vertAlign w:val="superscript"/>
        </w:rPr>
        <w:t>2</w:t>
      </w:r>
      <w:proofErr w:type="spellEnd"/>
      <w:r w:rsidRPr="00FE2D1F">
        <w:rPr>
          <w:spacing w:val="0"/>
          <w:szCs w:val="18"/>
        </w:rPr>
        <w:t>=14,19; p=0,000). Установлены мутантный аллель</w:t>
      </w:r>
      <w:proofErr w:type="gramStart"/>
      <w:r w:rsidRPr="00FE2D1F">
        <w:rPr>
          <w:spacing w:val="0"/>
          <w:szCs w:val="18"/>
        </w:rPr>
        <w:t xml:space="preserve"> А</w:t>
      </w:r>
      <w:proofErr w:type="gramEnd"/>
      <w:r w:rsidRPr="00FE2D1F">
        <w:rPr>
          <w:spacing w:val="0"/>
          <w:szCs w:val="18"/>
        </w:rPr>
        <w:t xml:space="preserve"> и небл</w:t>
      </w:r>
      <w:r w:rsidRPr="00FE2D1F">
        <w:rPr>
          <w:spacing w:val="0"/>
          <w:szCs w:val="18"/>
        </w:rPr>
        <w:t>а</w:t>
      </w:r>
      <w:r w:rsidRPr="00FE2D1F">
        <w:rPr>
          <w:spacing w:val="0"/>
          <w:szCs w:val="18"/>
        </w:rPr>
        <w:t xml:space="preserve">гоприятная </w:t>
      </w:r>
      <w:proofErr w:type="spellStart"/>
      <w:r w:rsidRPr="00FE2D1F">
        <w:rPr>
          <w:spacing w:val="0"/>
          <w:szCs w:val="18"/>
        </w:rPr>
        <w:t>гомозигота</w:t>
      </w:r>
      <w:proofErr w:type="spellEnd"/>
      <w:r w:rsidRPr="00FE2D1F">
        <w:rPr>
          <w:spacing w:val="0"/>
          <w:szCs w:val="18"/>
        </w:rPr>
        <w:t xml:space="preserve"> АА, ассоциированные с тяжелым прогрессирующим течением язвенного колита. </w:t>
      </w:r>
      <w:proofErr w:type="gramStart"/>
      <w:r w:rsidRPr="00FE2D1F">
        <w:rPr>
          <w:spacing w:val="0"/>
          <w:szCs w:val="18"/>
        </w:rPr>
        <w:t xml:space="preserve">Наличие мутантного </w:t>
      </w:r>
      <w:proofErr w:type="spellStart"/>
      <w:r w:rsidRPr="00FE2D1F">
        <w:rPr>
          <w:spacing w:val="0"/>
          <w:szCs w:val="18"/>
        </w:rPr>
        <w:t>аллеля</w:t>
      </w:r>
      <w:proofErr w:type="spellEnd"/>
      <w:r w:rsidRPr="00FE2D1F">
        <w:rPr>
          <w:spacing w:val="0"/>
          <w:szCs w:val="18"/>
        </w:rPr>
        <w:t xml:space="preserve"> в пять раз повышает тяжелое т</w:t>
      </w:r>
      <w:r w:rsidRPr="00FE2D1F">
        <w:rPr>
          <w:spacing w:val="0"/>
          <w:szCs w:val="18"/>
        </w:rPr>
        <w:t>е</w:t>
      </w:r>
      <w:r w:rsidRPr="00FE2D1F">
        <w:rPr>
          <w:spacing w:val="0"/>
          <w:szCs w:val="18"/>
        </w:rPr>
        <w:t>чение болезни (</w:t>
      </w:r>
      <w:r w:rsidRPr="00FE2D1F">
        <w:rPr>
          <w:spacing w:val="0"/>
          <w:szCs w:val="18"/>
          <w:lang w:val="en-US"/>
        </w:rPr>
        <w:t>OR </w:t>
      </w:r>
      <w:r w:rsidRPr="00FE2D1F">
        <w:rPr>
          <w:spacing w:val="0"/>
          <w:szCs w:val="18"/>
        </w:rPr>
        <w:t>5,03; ДИ12,07–12,21) для пациента.</w:t>
      </w:r>
      <w:proofErr w:type="gramEnd"/>
    </w:p>
    <w:p w:rsidR="00C92B98" w:rsidRPr="00F42D8B" w:rsidRDefault="00C92B98" w:rsidP="00C92B98">
      <w:pPr>
        <w:pStyle w:val="a7"/>
        <w:rPr>
          <w:b/>
          <w:snapToGrid w:val="0"/>
        </w:rPr>
      </w:pPr>
      <w:r w:rsidRPr="00F42D8B">
        <w:rPr>
          <w:bCs/>
          <w:lang w:eastAsia="ru-RU"/>
        </w:rPr>
        <w:t>Таким образом, р</w:t>
      </w:r>
      <w:r w:rsidRPr="00F42D8B">
        <w:t>иск развития неблагоприятного течения ЯК, склонного к частым рецидивам и прогрессир</w:t>
      </w:r>
      <w:r w:rsidRPr="00F42D8B">
        <w:t>о</w:t>
      </w:r>
      <w:r w:rsidRPr="00F42D8B">
        <w:t xml:space="preserve">ванию, ассоциирован с носительством </w:t>
      </w:r>
      <w:proofErr w:type="spellStart"/>
      <w:r w:rsidRPr="00F42D8B">
        <w:t>аллеля</w:t>
      </w:r>
      <w:proofErr w:type="spellEnd"/>
      <w:proofErr w:type="gramStart"/>
      <w:r w:rsidRPr="00F42D8B">
        <w:t xml:space="preserve"> А</w:t>
      </w:r>
      <w:proofErr w:type="gramEnd"/>
      <w:r w:rsidRPr="00F42D8B">
        <w:t xml:space="preserve"> гена TNF-α в регионе -</w:t>
      </w:r>
      <w:proofErr w:type="spellStart"/>
      <w:r w:rsidRPr="00F42D8B">
        <w:t>308G</w:t>
      </w:r>
      <w:proofErr w:type="spellEnd"/>
      <w:r w:rsidRPr="00F42D8B">
        <w:t>/A, что</w:t>
      </w:r>
      <w:r w:rsidRPr="00F42D8B">
        <w:rPr>
          <w:snapToGrid w:val="0"/>
        </w:rPr>
        <w:t xml:space="preserve"> должно учитываться при прогнозировании характера течения заб</w:t>
      </w:r>
      <w:r w:rsidRPr="00F42D8B">
        <w:rPr>
          <w:snapToGrid w:val="0"/>
        </w:rPr>
        <w:t>о</w:t>
      </w:r>
      <w:r w:rsidRPr="00F42D8B">
        <w:rPr>
          <w:snapToGrid w:val="0"/>
        </w:rPr>
        <w:t>левания и выборе стратегии лечения.</w:t>
      </w:r>
    </w:p>
    <w:p w:rsidR="00C92B98" w:rsidRPr="00A86380" w:rsidRDefault="00C92B98" w:rsidP="00C92B98">
      <w:pPr>
        <w:pStyle w:val="a7"/>
        <w:rPr>
          <w:spacing w:val="0"/>
        </w:rPr>
      </w:pPr>
      <w:r w:rsidRPr="00A86380">
        <w:rPr>
          <w:b/>
          <w:spacing w:val="0"/>
          <w:lang w:eastAsia="ru-RU"/>
        </w:rPr>
        <w:t>Ключевые слова</w:t>
      </w:r>
      <w:r w:rsidRPr="00A86380">
        <w:rPr>
          <w:spacing w:val="0"/>
          <w:lang w:eastAsia="ru-RU"/>
        </w:rPr>
        <w:t>: поражения слизистой толстой кишки, язвенный колит, фактор некроза опухоли альфа, пол</w:t>
      </w:r>
      <w:r w:rsidRPr="00A86380">
        <w:rPr>
          <w:spacing w:val="0"/>
          <w:lang w:eastAsia="ru-RU"/>
        </w:rPr>
        <w:t>и</w:t>
      </w:r>
      <w:r w:rsidRPr="00A86380">
        <w:rPr>
          <w:spacing w:val="0"/>
          <w:lang w:eastAsia="ru-RU"/>
        </w:rPr>
        <w:t xml:space="preserve">морфизм гена, оценка встречаемости вариаций гена, </w:t>
      </w:r>
      <w:r w:rsidRPr="00A86380">
        <w:rPr>
          <w:spacing w:val="0"/>
          <w:lang w:val="en-US" w:eastAsia="ru-RU"/>
        </w:rPr>
        <w:t>TNF</w:t>
      </w:r>
      <w:r w:rsidRPr="00A86380">
        <w:rPr>
          <w:spacing w:val="0"/>
          <w:lang w:eastAsia="ru-RU"/>
        </w:rPr>
        <w:t>-</w:t>
      </w:r>
      <w:r w:rsidRPr="00A86380">
        <w:rPr>
          <w:spacing w:val="0"/>
        </w:rPr>
        <w:t>α,</w:t>
      </w:r>
      <w:r w:rsidRPr="00A86380">
        <w:rPr>
          <w:spacing w:val="0"/>
          <w:lang w:eastAsia="ru-RU"/>
        </w:rPr>
        <w:t xml:space="preserve"> степень тяжести атаки, эндоскопическая активность.</w:t>
      </w:r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</w:pPr>
      <w:r>
        <w:t xml:space="preserve">ТОКСИКОЛОГО-ГИГИЕНИЧЕСКАЯ ОЦЕНКА НАНОЧАСТИЦ </w:t>
      </w:r>
      <w:r>
        <w:br/>
        <w:t>ДИОКСИДА Т</w:t>
      </w:r>
      <w:r>
        <w:t>И</w:t>
      </w:r>
      <w:r>
        <w:t xml:space="preserve">ТАНА В СОСТАВЕ ПИЩЕВОЙ ДОБАВКИ </w:t>
      </w:r>
      <w:proofErr w:type="spellStart"/>
      <w:r>
        <w:t>Е171</w:t>
      </w:r>
      <w:proofErr w:type="spellEnd"/>
      <w:r>
        <w:t xml:space="preserve"> </w:t>
      </w:r>
      <w:r>
        <w:br/>
        <w:t>(ОБЗОР ДАННЫХ ЛИТЕРАТ</w:t>
      </w:r>
      <w:r>
        <w:t>У</w:t>
      </w:r>
      <w:r>
        <w:t>РЫ И МЕТААНАЛИЗ)</w:t>
      </w:r>
    </w:p>
    <w:p w:rsidR="00C92B98" w:rsidRDefault="00C92B98" w:rsidP="00C92B98">
      <w:pPr>
        <w:pStyle w:val="2"/>
      </w:pPr>
      <w:r>
        <w:t>И.В. Гмошинский</w:t>
      </w:r>
      <w:r>
        <w:rPr>
          <w:vertAlign w:val="superscript"/>
        </w:rPr>
        <w:t>1</w:t>
      </w:r>
      <w:r>
        <w:t>, О.В. Багрянцева</w:t>
      </w:r>
      <w:r>
        <w:rPr>
          <w:vertAlign w:val="superscript"/>
        </w:rPr>
        <w:t>1,2</w:t>
      </w:r>
      <w:r>
        <w:t>, С.А. Хотимченко</w:t>
      </w:r>
      <w:r>
        <w:rPr>
          <w:vertAlign w:val="superscript"/>
        </w:rPr>
        <w:t>1,2</w:t>
      </w:r>
    </w:p>
    <w:p w:rsidR="00C92B98" w:rsidRPr="006C5DC7" w:rsidRDefault="00C92B98" w:rsidP="00C92B98">
      <w:pPr>
        <w:pStyle w:val="3"/>
        <w:rPr>
          <w:spacing w:val="4"/>
        </w:rPr>
      </w:pPr>
      <w:proofErr w:type="gramStart"/>
      <w:r>
        <w:rPr>
          <w:vertAlign w:val="superscript"/>
        </w:rPr>
        <w:t>1</w:t>
      </w:r>
      <w:r>
        <w:t>Федеральный исследовательский центр питания, биотехнологии и безопасности пищи, Россия, 109240, г. Москва, Устьинский проезд, 2/14</w:t>
      </w:r>
      <w:r>
        <w:br/>
      </w:r>
      <w:r>
        <w:rPr>
          <w:vertAlign w:val="superscript"/>
        </w:rPr>
        <w:t>2</w:t>
      </w:r>
      <w:r>
        <w:t>Первый Московский государственный медицинский университет им. И.М. Сеченова, Россия, 119991, г. Москва, ул. Трубецкая, 8, стр. 2</w:t>
      </w:r>
      <w:proofErr w:type="gramEnd"/>
    </w:p>
    <w:p w:rsidR="00C92B98" w:rsidRPr="00602893" w:rsidRDefault="00C92B98" w:rsidP="00C92B98">
      <w:pPr>
        <w:pStyle w:val="a6"/>
        <w:rPr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</w:rPr>
      </w:pPr>
    </w:p>
    <w:p w:rsidR="00C92B98" w:rsidRPr="00170B47" w:rsidRDefault="00C92B98" w:rsidP="00C92B98">
      <w:pPr>
        <w:pStyle w:val="a7"/>
        <w:spacing w:line="240" w:lineRule="auto"/>
        <w:rPr>
          <w:spacing w:val="0"/>
        </w:rPr>
      </w:pPr>
      <w:r w:rsidRPr="00170B47">
        <w:rPr>
          <w:spacing w:val="0"/>
        </w:rPr>
        <w:t xml:space="preserve">Рассматриваются данные о величинах экспозиции, </w:t>
      </w:r>
      <w:proofErr w:type="spellStart"/>
      <w:r w:rsidRPr="00170B47">
        <w:rPr>
          <w:spacing w:val="0"/>
        </w:rPr>
        <w:t>биодоступности</w:t>
      </w:r>
      <w:proofErr w:type="spellEnd"/>
      <w:r w:rsidRPr="00170B47">
        <w:rPr>
          <w:spacing w:val="0"/>
        </w:rPr>
        <w:t xml:space="preserve">, эффектах токсичности и рисках </w:t>
      </w:r>
      <w:proofErr w:type="spellStart"/>
      <w:r w:rsidRPr="00170B47">
        <w:rPr>
          <w:spacing w:val="0"/>
        </w:rPr>
        <w:t>наноч</w:t>
      </w:r>
      <w:r w:rsidRPr="00170B47">
        <w:rPr>
          <w:spacing w:val="0"/>
        </w:rPr>
        <w:t>а</w:t>
      </w:r>
      <w:r w:rsidRPr="00170B47">
        <w:rPr>
          <w:spacing w:val="0"/>
        </w:rPr>
        <w:t>стиц</w:t>
      </w:r>
      <w:proofErr w:type="spellEnd"/>
      <w:r w:rsidRPr="00170B47">
        <w:rPr>
          <w:spacing w:val="0"/>
        </w:rPr>
        <w:t xml:space="preserve"> (НЧ) диоксида титана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 xml:space="preserve"> при их поступлении в организм через желудочно-кишечный тракт (ЖКТ) в виде пищевой добавки – красителя </w:t>
      </w:r>
      <w:proofErr w:type="spellStart"/>
      <w:r w:rsidRPr="00170B47">
        <w:rPr>
          <w:spacing w:val="0"/>
        </w:rPr>
        <w:t>Е171</w:t>
      </w:r>
      <w:proofErr w:type="spellEnd"/>
      <w:r w:rsidRPr="00170B47">
        <w:rPr>
          <w:spacing w:val="0"/>
        </w:rPr>
        <w:t xml:space="preserve"> либо как значимой примеси в ее с</w:t>
      </w:r>
      <w:r w:rsidRPr="00170B47">
        <w:rPr>
          <w:spacing w:val="0"/>
        </w:rPr>
        <w:t>о</w:t>
      </w:r>
      <w:r w:rsidRPr="00170B47">
        <w:rPr>
          <w:spacing w:val="0"/>
        </w:rPr>
        <w:t xml:space="preserve">ставе. Согласно токсикологической оценке, данной JECFA в 1969 г.,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 xml:space="preserve"> рассматривался как малоопасное вещество. Однако в настоящее время ряд зарубежных и ме</w:t>
      </w:r>
      <w:r w:rsidRPr="00170B47">
        <w:rPr>
          <w:spacing w:val="0"/>
        </w:rPr>
        <w:t>ж</w:t>
      </w:r>
      <w:r w:rsidRPr="00170B47">
        <w:rPr>
          <w:spacing w:val="0"/>
        </w:rPr>
        <w:t>дународных организаций в области безопасности пищи придерживаются мнения, что эта оценка должна быть пер</w:t>
      </w:r>
      <w:r w:rsidRPr="00170B47">
        <w:rPr>
          <w:spacing w:val="0"/>
        </w:rPr>
        <w:t>е</w:t>
      </w:r>
      <w:r w:rsidRPr="00170B47">
        <w:rPr>
          <w:spacing w:val="0"/>
        </w:rPr>
        <w:t xml:space="preserve">смотрена в свете новых научных данных о неблагоприятном воздействии на организм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 xml:space="preserve">в </w:t>
      </w:r>
      <w:proofErr w:type="spellStart"/>
      <w:r w:rsidRPr="00170B47">
        <w:rPr>
          <w:spacing w:val="0"/>
        </w:rPr>
        <w:t>наноформе</w:t>
      </w:r>
      <w:proofErr w:type="spellEnd"/>
      <w:r w:rsidRPr="00170B47">
        <w:rPr>
          <w:spacing w:val="0"/>
        </w:rPr>
        <w:t xml:space="preserve">. Суммарное поступление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>в организм человека с пищевыми продуктами, косметическими средствами (зубные пасты) и лека</w:t>
      </w:r>
      <w:r w:rsidRPr="00170B47">
        <w:rPr>
          <w:spacing w:val="0"/>
        </w:rPr>
        <w:t>р</w:t>
      </w:r>
      <w:r w:rsidRPr="00170B47">
        <w:rPr>
          <w:spacing w:val="0"/>
        </w:rPr>
        <w:t>ственными препаратами может составлять от 0,5 до 5</w:t>
      </w:r>
      <w:r>
        <w:rPr>
          <w:spacing w:val="0"/>
        </w:rPr>
        <w:t>,0</w:t>
      </w:r>
      <w:r w:rsidRPr="00170B47">
        <w:rPr>
          <w:spacing w:val="0"/>
        </w:rPr>
        <w:t xml:space="preserve"> мг в сутки; наиболее экспонируемыми группами являются дети в возрасте 3–9 лет и подростки 10–17 лет. Несмотря на малую степень всасывания НЧ и микрочастиц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>в</w:t>
      </w:r>
      <w:r>
        <w:rPr>
          <w:spacing w:val="0"/>
        </w:rPr>
        <w:t> </w:t>
      </w:r>
      <w:r w:rsidRPr="00170B47">
        <w:rPr>
          <w:spacing w:val="0"/>
        </w:rPr>
        <w:t>ЖКТ, в значительном числе работ выявлены признаки их общетоксического действия на орг</w:t>
      </w:r>
      <w:r w:rsidRPr="00170B47">
        <w:rPr>
          <w:spacing w:val="0"/>
        </w:rPr>
        <w:t>а</w:t>
      </w:r>
      <w:r w:rsidRPr="00170B47">
        <w:rPr>
          <w:spacing w:val="0"/>
        </w:rPr>
        <w:t xml:space="preserve">низм при пероральном и внутрижелудочном введении. Выявленные эффекты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 xml:space="preserve">включают </w:t>
      </w:r>
      <w:proofErr w:type="spellStart"/>
      <w:r w:rsidRPr="00170B47">
        <w:rPr>
          <w:spacing w:val="0"/>
        </w:rPr>
        <w:t>органотоксическое</w:t>
      </w:r>
      <w:proofErr w:type="spellEnd"/>
      <w:r w:rsidRPr="00170B47">
        <w:rPr>
          <w:spacing w:val="0"/>
        </w:rPr>
        <w:t xml:space="preserve"> (преимущественно </w:t>
      </w:r>
      <w:proofErr w:type="spellStart"/>
      <w:r w:rsidRPr="00170B47">
        <w:rPr>
          <w:spacing w:val="0"/>
        </w:rPr>
        <w:t>гепатото</w:t>
      </w:r>
      <w:r w:rsidRPr="00170B47">
        <w:rPr>
          <w:spacing w:val="0"/>
        </w:rPr>
        <w:t>к</w:t>
      </w:r>
      <w:r w:rsidRPr="00170B47">
        <w:rPr>
          <w:spacing w:val="0"/>
        </w:rPr>
        <w:t>сическое</w:t>
      </w:r>
      <w:proofErr w:type="spellEnd"/>
      <w:r w:rsidRPr="00170B47">
        <w:rPr>
          <w:spacing w:val="0"/>
        </w:rPr>
        <w:t xml:space="preserve">) действие, </w:t>
      </w:r>
      <w:proofErr w:type="spellStart"/>
      <w:r w:rsidRPr="00170B47">
        <w:rPr>
          <w:spacing w:val="0"/>
        </w:rPr>
        <w:t>генотоксичность</w:t>
      </w:r>
      <w:proofErr w:type="spellEnd"/>
      <w:r w:rsidRPr="00170B47">
        <w:rPr>
          <w:spacing w:val="0"/>
        </w:rPr>
        <w:t xml:space="preserve">, </w:t>
      </w:r>
      <w:proofErr w:type="spellStart"/>
      <w:r w:rsidRPr="00170B47">
        <w:rPr>
          <w:spacing w:val="0"/>
        </w:rPr>
        <w:t>иммунотоксичность</w:t>
      </w:r>
      <w:proofErr w:type="spellEnd"/>
      <w:r w:rsidRPr="00170B47">
        <w:rPr>
          <w:spacing w:val="0"/>
        </w:rPr>
        <w:t xml:space="preserve">, репродуктивную токсичность, </w:t>
      </w:r>
      <w:proofErr w:type="spellStart"/>
      <w:r w:rsidRPr="00170B47">
        <w:rPr>
          <w:spacing w:val="0"/>
        </w:rPr>
        <w:t>нейротоксичность</w:t>
      </w:r>
      <w:proofErr w:type="spellEnd"/>
      <w:r w:rsidRPr="00170B47">
        <w:rPr>
          <w:spacing w:val="0"/>
        </w:rPr>
        <w:t>. Уб</w:t>
      </w:r>
      <w:r w:rsidRPr="00170B47">
        <w:rPr>
          <w:spacing w:val="0"/>
        </w:rPr>
        <w:t>е</w:t>
      </w:r>
      <w:r w:rsidRPr="00170B47">
        <w:rPr>
          <w:spacing w:val="0"/>
        </w:rPr>
        <w:t xml:space="preserve">дительных данных о </w:t>
      </w:r>
      <w:proofErr w:type="spellStart"/>
      <w:r w:rsidRPr="00170B47">
        <w:rPr>
          <w:spacing w:val="0"/>
        </w:rPr>
        <w:t>канцерогенности</w:t>
      </w:r>
      <w:proofErr w:type="spellEnd"/>
      <w:r w:rsidRPr="00170B47">
        <w:rPr>
          <w:spacing w:val="0"/>
        </w:rPr>
        <w:t xml:space="preserve">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 xml:space="preserve"> при поступлении в ЖКТ получено не было. Ряд эффектов НЧ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>, предп</w:t>
      </w:r>
      <w:r w:rsidRPr="00170B47">
        <w:rPr>
          <w:spacing w:val="0"/>
        </w:rPr>
        <w:t>о</w:t>
      </w:r>
      <w:r w:rsidRPr="00170B47">
        <w:rPr>
          <w:spacing w:val="0"/>
        </w:rPr>
        <w:t>ложительно, опосредуется их местным воздействием на лимфоидную ткань, ассоциированную со слизистой оболо</w:t>
      </w:r>
      <w:r w:rsidRPr="00170B47">
        <w:rPr>
          <w:spacing w:val="0"/>
        </w:rPr>
        <w:t>ч</w:t>
      </w:r>
      <w:r w:rsidRPr="00170B47">
        <w:rPr>
          <w:spacing w:val="0"/>
        </w:rPr>
        <w:t xml:space="preserve">кой кишки, а также на состав и активность компонентов </w:t>
      </w:r>
      <w:proofErr w:type="gramStart"/>
      <w:r w:rsidRPr="00170B47">
        <w:rPr>
          <w:spacing w:val="0"/>
        </w:rPr>
        <w:t>кишечного</w:t>
      </w:r>
      <w:proofErr w:type="gramEnd"/>
      <w:r w:rsidRPr="00170B47">
        <w:rPr>
          <w:spacing w:val="0"/>
        </w:rPr>
        <w:t xml:space="preserve"> </w:t>
      </w:r>
      <w:proofErr w:type="spellStart"/>
      <w:r w:rsidRPr="00170B47">
        <w:rPr>
          <w:spacing w:val="0"/>
        </w:rPr>
        <w:t>микробиоценоза</w:t>
      </w:r>
      <w:proofErr w:type="spellEnd"/>
      <w:r w:rsidRPr="00170B47">
        <w:rPr>
          <w:spacing w:val="0"/>
        </w:rPr>
        <w:t xml:space="preserve">, что не требует в качестве обязательной стадии кишечной абсорбции НЧ. </w:t>
      </w:r>
      <w:proofErr w:type="spellStart"/>
      <w:r w:rsidRPr="00170B47">
        <w:rPr>
          <w:spacing w:val="0"/>
        </w:rPr>
        <w:t>Метаанализ</w:t>
      </w:r>
      <w:proofErr w:type="spellEnd"/>
      <w:r w:rsidRPr="00170B47">
        <w:rPr>
          <w:spacing w:val="0"/>
        </w:rPr>
        <w:t xml:space="preserve"> данных 64 статей (за период 2007–2019 гг.), удовлетв</w:t>
      </w:r>
      <w:r w:rsidRPr="00170B47">
        <w:rPr>
          <w:spacing w:val="0"/>
        </w:rPr>
        <w:t>о</w:t>
      </w:r>
      <w:r w:rsidRPr="00170B47">
        <w:rPr>
          <w:spacing w:val="0"/>
        </w:rPr>
        <w:t xml:space="preserve">ряющих критериям научной достоверности и полноты, показал, что вероятная максимальная недействующая доза (NOAEL)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 xml:space="preserve"> в </w:t>
      </w:r>
      <w:proofErr w:type="spellStart"/>
      <w:r w:rsidRPr="00170B47">
        <w:rPr>
          <w:spacing w:val="0"/>
        </w:rPr>
        <w:t>наноформе</w:t>
      </w:r>
      <w:proofErr w:type="spellEnd"/>
      <w:r w:rsidRPr="00170B47">
        <w:rPr>
          <w:spacing w:val="0"/>
        </w:rPr>
        <w:t xml:space="preserve"> составляет менее 10 мг/кг массы тела в </w:t>
      </w:r>
      <w:r w:rsidRPr="00170B47">
        <w:rPr>
          <w:spacing w:val="0"/>
        </w:rPr>
        <w:lastRenderedPageBreak/>
        <w:t xml:space="preserve">сутки, а </w:t>
      </w:r>
      <w:proofErr w:type="spellStart"/>
      <w:r w:rsidRPr="00170B47">
        <w:rPr>
          <w:spacing w:val="0"/>
        </w:rPr>
        <w:t>референтную</w:t>
      </w:r>
      <w:proofErr w:type="spellEnd"/>
      <w:r w:rsidRPr="00170B47">
        <w:rPr>
          <w:spacing w:val="0"/>
        </w:rPr>
        <w:t xml:space="preserve"> безопасную дозу этого вещества следует оценить величиной 0,1 мг/кг массы тела в сутки. В связи с этим риск от поступления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>в кач</w:t>
      </w:r>
      <w:r w:rsidRPr="00170B47">
        <w:rPr>
          <w:spacing w:val="0"/>
        </w:rPr>
        <w:t>е</w:t>
      </w:r>
      <w:r w:rsidRPr="00170B47">
        <w:rPr>
          <w:spacing w:val="0"/>
        </w:rPr>
        <w:t xml:space="preserve">стве пищевой добавки </w:t>
      </w:r>
      <w:proofErr w:type="spellStart"/>
      <w:r w:rsidRPr="00170B47">
        <w:rPr>
          <w:spacing w:val="0"/>
        </w:rPr>
        <w:t>Е171</w:t>
      </w:r>
      <w:proofErr w:type="spellEnd"/>
      <w:r w:rsidRPr="00170B47">
        <w:rPr>
          <w:spacing w:val="0"/>
        </w:rPr>
        <w:t xml:space="preserve"> зависит от доли НЧ в ее составе и может быть неприемлемо высоким в случае их соде</w:t>
      </w:r>
      <w:r w:rsidRPr="00170B47">
        <w:rPr>
          <w:spacing w:val="0"/>
        </w:rPr>
        <w:t>р</w:t>
      </w:r>
      <w:r w:rsidRPr="00170B47">
        <w:rPr>
          <w:spacing w:val="0"/>
        </w:rPr>
        <w:t xml:space="preserve">жания свыше 10 % по массе общего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</w:rPr>
        <w:t xml:space="preserve">. Таким образом, содержание НЧ </w:t>
      </w:r>
      <w:proofErr w:type="spellStart"/>
      <w:r w:rsidRPr="00170B47">
        <w:rPr>
          <w:spacing w:val="0"/>
        </w:rPr>
        <w:t>TiO</w:t>
      </w:r>
      <w:r w:rsidRPr="00170B47">
        <w:rPr>
          <w:spacing w:val="0"/>
          <w:vertAlign w:val="subscript"/>
        </w:rPr>
        <w:t>2</w:t>
      </w:r>
      <w:proofErr w:type="spellEnd"/>
      <w:r w:rsidRPr="00170B47">
        <w:rPr>
          <w:spacing w:val="0"/>
          <w:vertAlign w:val="subscript"/>
        </w:rPr>
        <w:t xml:space="preserve"> </w:t>
      </w:r>
      <w:r w:rsidRPr="00170B47">
        <w:rPr>
          <w:spacing w:val="0"/>
        </w:rPr>
        <w:t xml:space="preserve">в составе пищевой добавки </w:t>
      </w:r>
      <w:proofErr w:type="spellStart"/>
      <w:r w:rsidRPr="00170B47">
        <w:rPr>
          <w:spacing w:val="0"/>
        </w:rPr>
        <w:t>Е171</w:t>
      </w:r>
      <w:proofErr w:type="spellEnd"/>
      <w:r w:rsidRPr="00170B47">
        <w:rPr>
          <w:spacing w:val="0"/>
        </w:rPr>
        <w:t>, применяемой в пищевой промышлен</w:t>
      </w:r>
      <w:r>
        <w:rPr>
          <w:spacing w:val="0"/>
        </w:rPr>
        <w:t>н</w:t>
      </w:r>
      <w:r w:rsidRPr="00170B47">
        <w:rPr>
          <w:spacing w:val="0"/>
        </w:rPr>
        <w:t>ости, нуждается в контроле и нормати</w:t>
      </w:r>
      <w:r w:rsidRPr="00170B47">
        <w:rPr>
          <w:spacing w:val="0"/>
        </w:rPr>
        <w:t>в</w:t>
      </w:r>
      <w:r w:rsidRPr="00170B47">
        <w:rPr>
          <w:spacing w:val="0"/>
        </w:rPr>
        <w:t>ном регулировании.</w:t>
      </w:r>
    </w:p>
    <w:p w:rsidR="00C92B98" w:rsidRDefault="00C92B98" w:rsidP="00C92B98">
      <w:pPr>
        <w:pStyle w:val="a7"/>
        <w:spacing w:line="240" w:lineRule="auto"/>
      </w:pPr>
      <w:r>
        <w:rPr>
          <w:b/>
        </w:rPr>
        <w:t xml:space="preserve">Ключевые слова: </w:t>
      </w:r>
      <w:r>
        <w:t xml:space="preserve">диоксид титана, пищевая добавка, </w:t>
      </w:r>
      <w:proofErr w:type="spellStart"/>
      <w:r>
        <w:t>наночастицы</w:t>
      </w:r>
      <w:proofErr w:type="spellEnd"/>
      <w:r>
        <w:t xml:space="preserve">, экспозиция, </w:t>
      </w:r>
      <w:proofErr w:type="spellStart"/>
      <w:r>
        <w:t>биодоступность</w:t>
      </w:r>
      <w:proofErr w:type="spellEnd"/>
      <w:r>
        <w:t>, токси</w:t>
      </w:r>
      <w:r>
        <w:t>ч</w:t>
      </w:r>
      <w:r>
        <w:t xml:space="preserve">ность, кишечный </w:t>
      </w:r>
      <w:proofErr w:type="spellStart"/>
      <w:r>
        <w:t>микробиоценоз</w:t>
      </w:r>
      <w:proofErr w:type="spellEnd"/>
      <w:r>
        <w:t>, риски.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Pr="00880572" w:rsidRDefault="00C92B98" w:rsidP="00C92B98">
      <w:pPr>
        <w:pStyle w:val="1"/>
      </w:pPr>
      <w:r w:rsidRPr="00833541">
        <w:t>ИНДЕКС НАКОПЛЕНИЯ ЛИПИДОВ</w:t>
      </w:r>
      <w:r>
        <w:t xml:space="preserve"> (</w:t>
      </w:r>
      <w:r w:rsidRPr="00833541">
        <w:rPr>
          <w:lang w:val="en-US"/>
        </w:rPr>
        <w:t>LIPID</w:t>
      </w:r>
      <w:r w:rsidRPr="00833541">
        <w:t xml:space="preserve"> </w:t>
      </w:r>
      <w:r w:rsidRPr="00833541">
        <w:rPr>
          <w:lang w:val="en-US"/>
        </w:rPr>
        <w:t>ACCUMULATION</w:t>
      </w:r>
      <w:r w:rsidRPr="00833541">
        <w:t xml:space="preserve"> </w:t>
      </w:r>
      <w:r w:rsidRPr="00833541">
        <w:rPr>
          <w:lang w:val="en-US"/>
        </w:rPr>
        <w:t>PRODUCT</w:t>
      </w:r>
      <w:r w:rsidRPr="00833541">
        <w:t xml:space="preserve">, </w:t>
      </w:r>
      <w:r w:rsidRPr="00833541">
        <w:rPr>
          <w:lang w:val="en-US"/>
        </w:rPr>
        <w:t>LAP</w:t>
      </w:r>
      <w:r>
        <w:t xml:space="preserve">) </w:t>
      </w:r>
      <w:r w:rsidRPr="00833541">
        <w:t>– СОВРЕМЕННЫЙ КЛИНИКО-БИОХИМИЧЕ</w:t>
      </w:r>
      <w:r>
        <w:t xml:space="preserve">СКИЙ МАРКЕР ОЖИРЕНИЯ </w:t>
      </w:r>
      <w:r>
        <w:br/>
        <w:t>У Ч</w:t>
      </w:r>
      <w:r>
        <w:t>Е</w:t>
      </w:r>
      <w:r>
        <w:t>ЛОВЕКА</w:t>
      </w:r>
    </w:p>
    <w:p w:rsidR="00C92B98" w:rsidRPr="00833541" w:rsidRDefault="00C92B98" w:rsidP="00C92B98">
      <w:pPr>
        <w:pStyle w:val="2"/>
      </w:pPr>
      <w:r w:rsidRPr="00833541">
        <w:t>А.М. Канева, Е.Р. Бойко</w:t>
      </w:r>
    </w:p>
    <w:p w:rsidR="00C92B98" w:rsidRPr="00311670" w:rsidRDefault="00C92B98" w:rsidP="00C92B98">
      <w:pPr>
        <w:pStyle w:val="3"/>
      </w:pPr>
      <w:r w:rsidRPr="00833541">
        <w:t>Институт физиологии Коми научного центра Уральского отдел</w:t>
      </w:r>
      <w:r>
        <w:t>ения Российской академии наук,</w:t>
      </w:r>
      <w:r w:rsidRPr="005211F6">
        <w:t xml:space="preserve"> </w:t>
      </w:r>
      <w:r>
        <w:t>Россия,</w:t>
      </w:r>
      <w:r w:rsidRPr="00833541">
        <w:t xml:space="preserve"> 167982, г. Сыктывкар, ул. Первомайская, </w:t>
      </w:r>
      <w:r>
        <w:t>50</w:t>
      </w:r>
    </w:p>
    <w:p w:rsidR="00C92B98" w:rsidRPr="00602893" w:rsidRDefault="00C92B98" w:rsidP="00C92B98">
      <w:pPr>
        <w:pStyle w:val="a6"/>
        <w:rPr>
          <w:color w:val="0000FF"/>
          <w:sz w:val="16"/>
          <w:szCs w:val="16"/>
        </w:rPr>
      </w:pPr>
    </w:p>
    <w:p w:rsidR="00C92B98" w:rsidRPr="00602893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  <w:color w:val="0000FF"/>
        </w:rPr>
      </w:pPr>
    </w:p>
    <w:p w:rsidR="00C92B98" w:rsidRPr="006F7891" w:rsidRDefault="00C92B98" w:rsidP="00C92B98">
      <w:pPr>
        <w:pStyle w:val="a7"/>
        <w:spacing w:line="245" w:lineRule="auto"/>
        <w:rPr>
          <w:szCs w:val="18"/>
        </w:rPr>
      </w:pPr>
      <w:r w:rsidRPr="006F7891">
        <w:rPr>
          <w:szCs w:val="18"/>
        </w:rPr>
        <w:t xml:space="preserve">Ожирение является важной </w:t>
      </w:r>
      <w:proofErr w:type="gramStart"/>
      <w:r w:rsidRPr="006F7891">
        <w:rPr>
          <w:szCs w:val="18"/>
        </w:rPr>
        <w:t>медико-социальной</w:t>
      </w:r>
      <w:proofErr w:type="gramEnd"/>
      <w:r w:rsidRPr="006F7891">
        <w:rPr>
          <w:szCs w:val="18"/>
        </w:rPr>
        <w:t xml:space="preserve"> проблемой, поскольку представляет серьезную угрозу для здоровья населения вследствие частого развития тяжелых сопутствующих заболеваний. Самым опасным видом ожирения считается висцеральное ожирение. Своевременная диагностика висцерального ожирения как на </w:t>
      </w:r>
      <w:proofErr w:type="spellStart"/>
      <w:r w:rsidRPr="006F7891">
        <w:rPr>
          <w:szCs w:val="18"/>
        </w:rPr>
        <w:t>скрининг</w:t>
      </w:r>
      <w:r w:rsidRPr="006F7891">
        <w:rPr>
          <w:szCs w:val="18"/>
        </w:rPr>
        <w:t>о</w:t>
      </w:r>
      <w:r w:rsidRPr="006F7891">
        <w:rPr>
          <w:szCs w:val="18"/>
        </w:rPr>
        <w:t>вых</w:t>
      </w:r>
      <w:proofErr w:type="spellEnd"/>
      <w:r w:rsidRPr="006F7891">
        <w:rPr>
          <w:szCs w:val="18"/>
        </w:rPr>
        <w:t xml:space="preserve"> осмотрах условно здорового населения, так и у лиц с </w:t>
      </w:r>
      <w:proofErr w:type="gramStart"/>
      <w:r w:rsidRPr="006F7891">
        <w:rPr>
          <w:szCs w:val="18"/>
        </w:rPr>
        <w:t>сердечно-сосудистыми</w:t>
      </w:r>
      <w:proofErr w:type="gramEnd"/>
      <w:r w:rsidRPr="006F7891">
        <w:rPr>
          <w:szCs w:val="18"/>
        </w:rPr>
        <w:t xml:space="preserve"> заболеваниями становится ва</w:t>
      </w:r>
      <w:r w:rsidRPr="006F7891">
        <w:rPr>
          <w:szCs w:val="18"/>
        </w:rPr>
        <w:t>ж</w:t>
      </w:r>
      <w:r w:rsidRPr="006F7891">
        <w:rPr>
          <w:szCs w:val="18"/>
        </w:rPr>
        <w:t>ным направлением как первичной, так и вторичной профилактики.</w:t>
      </w:r>
    </w:p>
    <w:p w:rsidR="00C92B98" w:rsidRPr="006F7891" w:rsidRDefault="00C92B98" w:rsidP="00C92B98">
      <w:pPr>
        <w:pStyle w:val="a7"/>
        <w:spacing w:line="245" w:lineRule="auto"/>
        <w:rPr>
          <w:szCs w:val="18"/>
        </w:rPr>
      </w:pPr>
      <w:r w:rsidRPr="006F7891">
        <w:rPr>
          <w:szCs w:val="18"/>
        </w:rPr>
        <w:t>В обзоре рассматривается современный маркер висцерального ожирения – индекс накопления липидов (</w:t>
      </w:r>
      <w:proofErr w:type="spellStart"/>
      <w:r w:rsidRPr="006F7891">
        <w:rPr>
          <w:szCs w:val="18"/>
        </w:rPr>
        <w:t>lipid</w:t>
      </w:r>
      <w:proofErr w:type="spellEnd"/>
      <w:r w:rsidRPr="006F7891">
        <w:rPr>
          <w:szCs w:val="18"/>
        </w:rPr>
        <w:t xml:space="preserve"> </w:t>
      </w:r>
      <w:proofErr w:type="spellStart"/>
      <w:r w:rsidRPr="006F7891">
        <w:rPr>
          <w:szCs w:val="18"/>
        </w:rPr>
        <w:t>accumulation</w:t>
      </w:r>
      <w:proofErr w:type="spellEnd"/>
      <w:r w:rsidRPr="006F7891">
        <w:rPr>
          <w:szCs w:val="18"/>
        </w:rPr>
        <w:t xml:space="preserve"> </w:t>
      </w:r>
      <w:proofErr w:type="spellStart"/>
      <w:r w:rsidRPr="006F7891">
        <w:rPr>
          <w:szCs w:val="18"/>
        </w:rPr>
        <w:t>product</w:t>
      </w:r>
      <w:proofErr w:type="spellEnd"/>
      <w:r>
        <w:rPr>
          <w:szCs w:val="18"/>
        </w:rPr>
        <w:t xml:space="preserve"> –</w:t>
      </w:r>
      <w:r w:rsidRPr="006F7891">
        <w:rPr>
          <w:szCs w:val="18"/>
        </w:rPr>
        <w:t xml:space="preserve"> LAP). Этот индекс, предложенный H.S. </w:t>
      </w:r>
      <w:proofErr w:type="spellStart"/>
      <w:r w:rsidRPr="006F7891">
        <w:rPr>
          <w:szCs w:val="18"/>
        </w:rPr>
        <w:t>Kahn</w:t>
      </w:r>
      <w:proofErr w:type="spellEnd"/>
      <w:r w:rsidRPr="006F7891">
        <w:rPr>
          <w:szCs w:val="18"/>
        </w:rPr>
        <w:t xml:space="preserve"> в 2005 г</w:t>
      </w:r>
      <w:r>
        <w:rPr>
          <w:szCs w:val="18"/>
        </w:rPr>
        <w:t>.</w:t>
      </w:r>
      <w:r w:rsidRPr="006F7891">
        <w:rPr>
          <w:szCs w:val="18"/>
        </w:rPr>
        <w:t>, рассчитывается на основании двух переменных – обхвата талии (</w:t>
      </w:r>
      <w:proofErr w:type="gramStart"/>
      <w:r w:rsidRPr="006F7891">
        <w:rPr>
          <w:szCs w:val="18"/>
        </w:rPr>
        <w:t>см</w:t>
      </w:r>
      <w:proofErr w:type="gramEnd"/>
      <w:r w:rsidRPr="006F7891">
        <w:rPr>
          <w:szCs w:val="18"/>
        </w:rPr>
        <w:t>) и уровня триглицеридов (</w:t>
      </w:r>
      <w:proofErr w:type="spellStart"/>
      <w:r w:rsidRPr="006F7891">
        <w:rPr>
          <w:szCs w:val="18"/>
        </w:rPr>
        <w:t>ммоль</w:t>
      </w:r>
      <w:proofErr w:type="spellEnd"/>
      <w:r w:rsidRPr="006F7891">
        <w:rPr>
          <w:szCs w:val="18"/>
        </w:rPr>
        <w:t>/л), измеренного натощак. Одновременное испол</w:t>
      </w:r>
      <w:r w:rsidRPr="006F7891">
        <w:rPr>
          <w:szCs w:val="18"/>
        </w:rPr>
        <w:t>ь</w:t>
      </w:r>
      <w:r w:rsidRPr="006F7891">
        <w:rPr>
          <w:szCs w:val="18"/>
        </w:rPr>
        <w:t>зование биохимического и антропометрического показателей при расчете индекса LAP позволяет не только оценивать характер распределения жира в организме, но и отражать функциональное состояние жир</w:t>
      </w:r>
      <w:r w:rsidRPr="006F7891">
        <w:rPr>
          <w:szCs w:val="18"/>
        </w:rPr>
        <w:t>о</w:t>
      </w:r>
      <w:r w:rsidRPr="006F7891">
        <w:rPr>
          <w:szCs w:val="18"/>
        </w:rPr>
        <w:t>вой ткани.</w:t>
      </w:r>
    </w:p>
    <w:p w:rsidR="00C92B98" w:rsidRPr="006F7891" w:rsidRDefault="00C92B98" w:rsidP="00C92B98">
      <w:pPr>
        <w:pStyle w:val="a7"/>
        <w:spacing w:line="245" w:lineRule="auto"/>
        <w:rPr>
          <w:szCs w:val="18"/>
        </w:rPr>
      </w:pPr>
      <w:r w:rsidRPr="006F7891">
        <w:rPr>
          <w:szCs w:val="18"/>
        </w:rPr>
        <w:t>Индекс LAP широко используется в качестве маркера метаболических нарушений (метаболического синдр</w:t>
      </w:r>
      <w:r w:rsidRPr="006F7891">
        <w:rPr>
          <w:szCs w:val="18"/>
        </w:rPr>
        <w:t>о</w:t>
      </w:r>
      <w:r w:rsidRPr="006F7891">
        <w:rPr>
          <w:szCs w:val="18"/>
        </w:rPr>
        <w:t xml:space="preserve">ма, диабета, </w:t>
      </w:r>
      <w:proofErr w:type="spellStart"/>
      <w:r w:rsidRPr="006F7891">
        <w:rPr>
          <w:szCs w:val="18"/>
        </w:rPr>
        <w:t>инсулинорезистентности</w:t>
      </w:r>
      <w:proofErr w:type="spellEnd"/>
      <w:r w:rsidRPr="006F7891">
        <w:rPr>
          <w:szCs w:val="18"/>
        </w:rPr>
        <w:t xml:space="preserve">, неалкогольной жировой болезни печени) и предиктора </w:t>
      </w:r>
      <w:proofErr w:type="gramStart"/>
      <w:r w:rsidRPr="006F7891">
        <w:rPr>
          <w:szCs w:val="18"/>
        </w:rPr>
        <w:t>се</w:t>
      </w:r>
      <w:r w:rsidRPr="006F7891">
        <w:rPr>
          <w:szCs w:val="18"/>
        </w:rPr>
        <w:t>р</w:t>
      </w:r>
      <w:r w:rsidRPr="006F7891">
        <w:rPr>
          <w:szCs w:val="18"/>
        </w:rPr>
        <w:t>дечно-сосудистых</w:t>
      </w:r>
      <w:proofErr w:type="gramEnd"/>
      <w:r w:rsidRPr="006F7891">
        <w:rPr>
          <w:szCs w:val="18"/>
        </w:rPr>
        <w:t xml:space="preserve"> заболеваний. Кроме того, индекс LAP, обладая способностью идентифицировать фен</w:t>
      </w:r>
      <w:r w:rsidRPr="006F7891">
        <w:rPr>
          <w:szCs w:val="18"/>
        </w:rPr>
        <w:t>о</w:t>
      </w:r>
      <w:r w:rsidRPr="006F7891">
        <w:rPr>
          <w:szCs w:val="18"/>
        </w:rPr>
        <w:t>тип ожирения, позволяет проводить градацию среди людей с избыточным весом на «</w:t>
      </w:r>
      <w:proofErr w:type="spellStart"/>
      <w:r w:rsidRPr="006F7891">
        <w:rPr>
          <w:szCs w:val="18"/>
        </w:rPr>
        <w:t>метаболически</w:t>
      </w:r>
      <w:proofErr w:type="spellEnd"/>
      <w:r w:rsidRPr="006F7891">
        <w:rPr>
          <w:szCs w:val="18"/>
        </w:rPr>
        <w:t xml:space="preserve"> здор</w:t>
      </w:r>
      <w:r w:rsidRPr="006F7891">
        <w:rPr>
          <w:szCs w:val="18"/>
        </w:rPr>
        <w:t>о</w:t>
      </w:r>
      <w:r w:rsidRPr="006F7891">
        <w:rPr>
          <w:szCs w:val="18"/>
        </w:rPr>
        <w:t>вых» и «</w:t>
      </w:r>
      <w:proofErr w:type="spellStart"/>
      <w:r w:rsidRPr="006F7891">
        <w:rPr>
          <w:szCs w:val="18"/>
        </w:rPr>
        <w:t>метаболически</w:t>
      </w:r>
      <w:proofErr w:type="spellEnd"/>
      <w:r w:rsidRPr="006F7891">
        <w:rPr>
          <w:szCs w:val="18"/>
        </w:rPr>
        <w:t xml:space="preserve"> больных», а</w:t>
      </w:r>
      <w:r>
        <w:rPr>
          <w:szCs w:val="18"/>
        </w:rPr>
        <w:t> </w:t>
      </w:r>
      <w:r w:rsidRPr="006F7891">
        <w:rPr>
          <w:szCs w:val="18"/>
        </w:rPr>
        <w:t>среди лиц с нормальным весом выявлять пациентов с метаболическим ожирением. Во многих исследованиях продемонстрировано, что индекс LAP обладает хорошим диагностическим и прогностическим потенциалом в отн</w:t>
      </w:r>
      <w:r w:rsidRPr="006F7891">
        <w:rPr>
          <w:szCs w:val="18"/>
        </w:rPr>
        <w:t>о</w:t>
      </w:r>
      <w:r w:rsidRPr="006F7891">
        <w:rPr>
          <w:szCs w:val="18"/>
        </w:rPr>
        <w:t xml:space="preserve">шении метаболических и </w:t>
      </w:r>
      <w:proofErr w:type="gramStart"/>
      <w:r w:rsidRPr="006F7891">
        <w:rPr>
          <w:szCs w:val="18"/>
        </w:rPr>
        <w:t>сердечно-сосудистых</w:t>
      </w:r>
      <w:proofErr w:type="gramEnd"/>
      <w:r w:rsidRPr="006F7891">
        <w:rPr>
          <w:szCs w:val="18"/>
        </w:rPr>
        <w:t xml:space="preserve"> заболеваний и является более точным маркером </w:t>
      </w:r>
      <w:proofErr w:type="spellStart"/>
      <w:r w:rsidRPr="006F7891">
        <w:rPr>
          <w:szCs w:val="18"/>
        </w:rPr>
        <w:t>кардиометаболич</w:t>
      </w:r>
      <w:r w:rsidRPr="006F7891">
        <w:rPr>
          <w:szCs w:val="18"/>
        </w:rPr>
        <w:t>е</w:t>
      </w:r>
      <w:r w:rsidRPr="006F7891">
        <w:rPr>
          <w:szCs w:val="18"/>
        </w:rPr>
        <w:t>ского</w:t>
      </w:r>
      <w:proofErr w:type="spellEnd"/>
      <w:r w:rsidRPr="006F7891">
        <w:rPr>
          <w:szCs w:val="18"/>
        </w:rPr>
        <w:t xml:space="preserve"> риска, чем общепринятые антропометрические показатели. В обзоре представлены диапазоны варьирования, половые и возрастные особенности значений индекса LAP, а также характер и степень их изменения при ряде заболеваний. Освещены преимущества и недостатки применения индекса LAP на практ</w:t>
      </w:r>
      <w:r w:rsidRPr="006F7891">
        <w:rPr>
          <w:szCs w:val="18"/>
        </w:rPr>
        <w:t>и</w:t>
      </w:r>
      <w:r w:rsidRPr="006F7891">
        <w:rPr>
          <w:szCs w:val="18"/>
        </w:rPr>
        <w:t>ке.</w:t>
      </w:r>
    </w:p>
    <w:p w:rsidR="00C92B98" w:rsidRPr="006F7891" w:rsidRDefault="00C92B98" w:rsidP="00C92B98">
      <w:pPr>
        <w:pStyle w:val="a7"/>
        <w:spacing w:line="245" w:lineRule="auto"/>
        <w:rPr>
          <w:szCs w:val="18"/>
        </w:rPr>
      </w:pPr>
      <w:r w:rsidRPr="006F7891">
        <w:rPr>
          <w:b/>
          <w:iCs/>
          <w:szCs w:val="18"/>
        </w:rPr>
        <w:t xml:space="preserve">Ключевые слова: </w:t>
      </w:r>
      <w:r w:rsidRPr="006F7891">
        <w:rPr>
          <w:szCs w:val="18"/>
        </w:rPr>
        <w:t>индекс накопления липидов (LAP), обхват талии, триглицериды, индекс массы тела, ожир</w:t>
      </w:r>
      <w:r w:rsidRPr="006F7891">
        <w:rPr>
          <w:szCs w:val="18"/>
        </w:rPr>
        <w:t>е</w:t>
      </w:r>
      <w:r w:rsidRPr="006F7891">
        <w:rPr>
          <w:szCs w:val="18"/>
        </w:rPr>
        <w:t xml:space="preserve">ние, метаболический синдром, </w:t>
      </w:r>
      <w:proofErr w:type="gramStart"/>
      <w:r w:rsidRPr="006F7891">
        <w:rPr>
          <w:szCs w:val="18"/>
        </w:rPr>
        <w:t>сердечно-сосудистые</w:t>
      </w:r>
      <w:proofErr w:type="gramEnd"/>
      <w:r w:rsidRPr="006F7891">
        <w:rPr>
          <w:szCs w:val="18"/>
        </w:rPr>
        <w:t xml:space="preserve"> заболевания.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pStyle w:val="1"/>
        <w:spacing w:before="120"/>
      </w:pPr>
      <w:r w:rsidRPr="00490A98">
        <w:t>ЭНЕРГЕТИЧЕСКИЙ ПОТЕНЦИАЛ МИТОХОНДРИЙ</w:t>
      </w:r>
      <w:r>
        <w:t xml:space="preserve"> </w:t>
      </w:r>
      <w:r w:rsidRPr="00490A98">
        <w:t>В УСЛОВИЯХ</w:t>
      </w:r>
      <w:r>
        <w:br/>
      </w:r>
      <w:r w:rsidRPr="00490A98">
        <w:t>СВЕТОД</w:t>
      </w:r>
      <w:r w:rsidRPr="00490A98">
        <w:t>И</w:t>
      </w:r>
      <w:r w:rsidRPr="00490A98">
        <w:t>ОДНОГО</w:t>
      </w:r>
      <w:r>
        <w:t xml:space="preserve"> </w:t>
      </w:r>
      <w:r w:rsidRPr="00490A98">
        <w:t>ОСВЕЩЕНИЯ</w:t>
      </w:r>
      <w:r>
        <w:t xml:space="preserve"> </w:t>
      </w:r>
      <w:r w:rsidRPr="00490A98">
        <w:t>И РИСКИ</w:t>
      </w:r>
      <w:r>
        <w:t xml:space="preserve"> </w:t>
      </w:r>
      <w:r w:rsidRPr="00490A98">
        <w:t>ЗАБОЛЕВАНИЯ ГЛАЗ</w:t>
      </w:r>
    </w:p>
    <w:p w:rsidR="00C92B98" w:rsidRDefault="00C92B98" w:rsidP="00C92B98">
      <w:pPr>
        <w:pStyle w:val="2"/>
      </w:pPr>
      <w:r w:rsidRPr="00490A98">
        <w:t>В.А</w:t>
      </w:r>
      <w:r>
        <w:t>.</w:t>
      </w:r>
      <w:r w:rsidRPr="00490A98">
        <w:t xml:space="preserve"> Капцов</w:t>
      </w:r>
      <w:r w:rsidRPr="00490A98">
        <w:rPr>
          <w:vertAlign w:val="superscript"/>
        </w:rPr>
        <w:t>1</w:t>
      </w:r>
      <w:r w:rsidRPr="00490A98">
        <w:t>, В.Н. Дейнего</w:t>
      </w:r>
      <w:r w:rsidRPr="00490A98">
        <w:rPr>
          <w:vertAlign w:val="superscript"/>
        </w:rPr>
        <w:t>2</w:t>
      </w:r>
      <w:r w:rsidRPr="00490A98">
        <w:t>, В.Н. Уласюк</w:t>
      </w:r>
      <w:r w:rsidRPr="00490A98">
        <w:rPr>
          <w:vertAlign w:val="superscript"/>
        </w:rPr>
        <w:t xml:space="preserve"> </w:t>
      </w:r>
      <w:r w:rsidRPr="005653A9">
        <w:rPr>
          <w:vertAlign w:val="superscript"/>
        </w:rPr>
        <w:t>3</w:t>
      </w:r>
    </w:p>
    <w:p w:rsidR="00C92B98" w:rsidRDefault="00C92B98" w:rsidP="00C92B98">
      <w:pPr>
        <w:pStyle w:val="3"/>
      </w:pPr>
      <w:proofErr w:type="gramStart"/>
      <w:r w:rsidRPr="00A00084">
        <w:rPr>
          <w:vertAlign w:val="superscript"/>
        </w:rPr>
        <w:t>1</w:t>
      </w:r>
      <w:r w:rsidRPr="00A00084">
        <w:t>Всероссийский научно-исследовательский институт железнодорожной гигиены, Россия, 125438, г. Москва, Пакгаузное шоссе, 1, корп</w:t>
      </w:r>
      <w:r>
        <w:t>.</w:t>
      </w:r>
      <w:r w:rsidRPr="00A00084">
        <w:t xml:space="preserve"> 1</w:t>
      </w:r>
      <w:r>
        <w:br/>
      </w:r>
      <w:r w:rsidRPr="00CE282E">
        <w:rPr>
          <w:vertAlign w:val="superscript"/>
        </w:rPr>
        <w:t>2</w:t>
      </w:r>
      <w:r w:rsidRPr="00CE282E">
        <w:t xml:space="preserve"> ООО</w:t>
      </w:r>
      <w:r>
        <w:t xml:space="preserve"> «</w:t>
      </w:r>
      <w:r w:rsidRPr="00CE282E">
        <w:t>Биолюмен</w:t>
      </w:r>
      <w:r>
        <w:t>»,</w:t>
      </w:r>
      <w:r w:rsidRPr="00CE282E">
        <w:t xml:space="preserve"> Россия, 14119</w:t>
      </w:r>
      <w:r>
        <w:t xml:space="preserve">5, г. Фрязино, проспект Мира, </w:t>
      </w:r>
      <w:r w:rsidRPr="00CE282E">
        <w:t>8</w:t>
      </w:r>
      <w:r>
        <w:br/>
      </w:r>
      <w:r w:rsidRPr="00E87D44">
        <w:rPr>
          <w:vertAlign w:val="superscript"/>
        </w:rPr>
        <w:t>3</w:t>
      </w:r>
      <w:r w:rsidRPr="00E87D44">
        <w:t xml:space="preserve"> АО</w:t>
      </w:r>
      <w:r>
        <w:t xml:space="preserve"> «</w:t>
      </w:r>
      <w:r w:rsidRPr="00E87D44">
        <w:t>Научно-исследовательский институт "Платан" с заводом при НИИ</w:t>
      </w:r>
      <w:r>
        <w:t>»,</w:t>
      </w:r>
      <w:r w:rsidRPr="00E87D44">
        <w:t xml:space="preserve"> Россия,</w:t>
      </w:r>
      <w:r>
        <w:t xml:space="preserve"> </w:t>
      </w:r>
      <w:r w:rsidRPr="00E87D44">
        <w:t>141190, г. Фрязино, Заводской проезд, 2</w:t>
      </w:r>
      <w:proofErr w:type="gramEnd"/>
    </w:p>
    <w:p w:rsidR="00C92B98" w:rsidRPr="00C92B98" w:rsidRDefault="00C92B98" w:rsidP="00C92B98">
      <w:pPr>
        <w:pStyle w:val="a6"/>
        <w:rPr>
          <w:color w:val="339966"/>
          <w:sz w:val="16"/>
          <w:szCs w:val="16"/>
        </w:rPr>
      </w:pPr>
    </w:p>
    <w:p w:rsidR="00C92B98" w:rsidRPr="00C92B98" w:rsidRDefault="00C92B98" w:rsidP="00C92B98">
      <w:pPr>
        <w:pStyle w:val="a0"/>
        <w:spacing w:before="0" w:beforeAutospacing="0" w:after="0" w:afterAutospacing="0" w:line="233" w:lineRule="auto"/>
        <w:ind w:firstLine="454"/>
        <w:jc w:val="both"/>
        <w:rPr>
          <w:b/>
          <w:color w:val="339966"/>
        </w:rPr>
      </w:pPr>
    </w:p>
    <w:p w:rsidR="00C92B98" w:rsidRDefault="00C92B98" w:rsidP="00C92B98">
      <w:pPr>
        <w:pStyle w:val="a7"/>
        <w:rPr>
          <w:lang w:eastAsia="ru-RU"/>
        </w:rPr>
      </w:pPr>
      <w:r w:rsidRPr="00E87D44">
        <w:rPr>
          <w:lang w:eastAsia="ru-RU"/>
        </w:rPr>
        <w:t xml:space="preserve">Из-за нарушения рефракции, миопии и других </w:t>
      </w:r>
      <w:r>
        <w:rPr>
          <w:lang w:eastAsia="ru-RU"/>
        </w:rPr>
        <w:t>изменений</w:t>
      </w:r>
      <w:r w:rsidRPr="00E87D44">
        <w:rPr>
          <w:lang w:eastAsia="ru-RU"/>
        </w:rPr>
        <w:t xml:space="preserve"> зрения снижается продуктивность любого рода деятельности, ограничиваются образовательные и трудовые возможности экономически активного населения. С</w:t>
      </w:r>
      <w:r w:rsidRPr="00E87D44">
        <w:rPr>
          <w:bCs/>
          <w:kern w:val="24"/>
        </w:rPr>
        <w:t xml:space="preserve"> </w:t>
      </w:r>
      <w:r>
        <w:rPr>
          <w:bCs/>
          <w:kern w:val="24"/>
        </w:rPr>
        <w:t>ув</w:t>
      </w:r>
      <w:r>
        <w:rPr>
          <w:bCs/>
          <w:kern w:val="24"/>
        </w:rPr>
        <w:t>е</w:t>
      </w:r>
      <w:r>
        <w:rPr>
          <w:bCs/>
          <w:kern w:val="24"/>
        </w:rPr>
        <w:t>личением</w:t>
      </w:r>
      <w:r w:rsidRPr="00E87D44">
        <w:rPr>
          <w:bCs/>
          <w:kern w:val="24"/>
        </w:rPr>
        <w:t xml:space="preserve"> степени денатурации света нарастает степень утомления от выполнения тестовой зрительной работы.</w:t>
      </w:r>
      <w:r w:rsidRPr="00E87D44">
        <w:rPr>
          <w:lang w:eastAsia="ru-RU"/>
        </w:rPr>
        <w:t xml:space="preserve"> </w:t>
      </w:r>
      <w:r w:rsidRPr="00E87D44">
        <w:rPr>
          <w:bCs/>
          <w:kern w:val="24"/>
        </w:rPr>
        <w:t xml:space="preserve">Наименьший спад физиологических и психологических показателей у человека отмечается при работе в условиях естественного освещения, наибольший – при полностью искусственном освещении. </w:t>
      </w:r>
      <w:r w:rsidRPr="00E87D44">
        <w:t>Искусственные источники св</w:t>
      </w:r>
      <w:r w:rsidRPr="00E87D44">
        <w:t>е</w:t>
      </w:r>
      <w:r w:rsidRPr="00E87D44">
        <w:t>та по отношению к равномерному</w:t>
      </w:r>
      <w:r>
        <w:t xml:space="preserve"> </w:t>
      </w:r>
      <w:r w:rsidRPr="00E87D44">
        <w:t>спектру солнечного света имеют выбросы и провалы фотонного потока при определенных длинах волн.</w:t>
      </w:r>
    </w:p>
    <w:p w:rsidR="00C92B98" w:rsidRDefault="00C92B98" w:rsidP="00C92B98">
      <w:pPr>
        <w:pStyle w:val="a7"/>
      </w:pPr>
      <w:r w:rsidRPr="00EC3D98">
        <w:t xml:space="preserve">Показано, что в области красного света 670 </w:t>
      </w:r>
      <w:proofErr w:type="spellStart"/>
      <w:r w:rsidRPr="00EC3D98">
        <w:t>нм</w:t>
      </w:r>
      <w:proofErr w:type="spellEnd"/>
      <w:r w:rsidRPr="00EC3D98">
        <w:t xml:space="preserve"> имеет место резкий спад спектрально-энергетической характеристики по сравнению со спектром солнечного света. Рассмотрено как дефицит красного света 670 </w:t>
      </w:r>
      <w:proofErr w:type="spellStart"/>
      <w:r w:rsidRPr="00EC3D98">
        <w:t>нм</w:t>
      </w:r>
      <w:proofErr w:type="spellEnd"/>
      <w:r w:rsidRPr="00EC3D98">
        <w:t xml:space="preserve"> вли</w:t>
      </w:r>
      <w:r w:rsidRPr="00EC3D98">
        <w:t>я</w:t>
      </w:r>
      <w:r w:rsidRPr="00EC3D98">
        <w:t>ет на функционирование клеток зрительного анализатора</w:t>
      </w:r>
      <w:r>
        <w:t xml:space="preserve"> в целом</w:t>
      </w:r>
      <w:r w:rsidRPr="00EC3D98">
        <w:t xml:space="preserve"> и на митохондрии в частности.</w:t>
      </w:r>
      <w:r>
        <w:t xml:space="preserve"> </w:t>
      </w:r>
      <w:r w:rsidRPr="00EC3D98">
        <w:t>В теории стар</w:t>
      </w:r>
      <w:r w:rsidRPr="00EC3D98">
        <w:t>е</w:t>
      </w:r>
      <w:r w:rsidRPr="00EC3D98">
        <w:t>ния митохондрий утверждается, что окислительный стресс, вызванный мутациями ДНК митохондрий, ассоциир</w:t>
      </w:r>
      <w:r w:rsidRPr="00EC3D98">
        <w:t>у</w:t>
      </w:r>
      <w:r w:rsidRPr="00EC3D98">
        <w:t xml:space="preserve">ется с уменьшением производства </w:t>
      </w:r>
      <w:proofErr w:type="spellStart"/>
      <w:r w:rsidRPr="00EC3D98">
        <w:t>аденозинтрифосфата</w:t>
      </w:r>
      <w:proofErr w:type="spellEnd"/>
      <w:r>
        <w:t xml:space="preserve"> (</w:t>
      </w:r>
      <w:r w:rsidRPr="00EC3D98">
        <w:t>АТФ</w:t>
      </w:r>
      <w:r>
        <w:t>),</w:t>
      </w:r>
      <w:r w:rsidRPr="00EC3D98">
        <w:t xml:space="preserve"> приводящим к клеточной дегенерации. </w:t>
      </w:r>
      <w:r w:rsidRPr="00EC3D98">
        <w:lastRenderedPageBreak/>
        <w:t>Скорость этой деградации связана с метаболич</w:t>
      </w:r>
      <w:r w:rsidRPr="00EC3D98">
        <w:t>е</w:t>
      </w:r>
      <w:r w:rsidRPr="00EC3D98">
        <w:t>ским спросом организма,</w:t>
      </w:r>
      <w:r>
        <w:t xml:space="preserve"> </w:t>
      </w:r>
      <w:r w:rsidRPr="00EC3D98">
        <w:t>прогрессирующим воспалением внешней сетчатки, вторжением макрофагов и потерей клеток, в результате чего снижается зрение. В рам</w:t>
      </w:r>
      <w:r>
        <w:t>ках пр</w:t>
      </w:r>
      <w:r>
        <w:t>и</w:t>
      </w:r>
      <w:r>
        <w:t>чинно-следственной цепи «</w:t>
      </w:r>
      <w:r w:rsidRPr="00EC3D98">
        <w:t xml:space="preserve">свет 670 </w:t>
      </w:r>
      <w:proofErr w:type="spellStart"/>
      <w:r w:rsidRPr="00EC3D98">
        <w:t>нм</w:t>
      </w:r>
      <w:proofErr w:type="spellEnd"/>
      <w:r w:rsidRPr="00EC3D98">
        <w:t xml:space="preserve"> – структурные свойства воды – эффективность работы роторного двигателя митохондрии</w:t>
      </w:r>
      <w:r>
        <w:t xml:space="preserve">» </w:t>
      </w:r>
      <w:r w:rsidRPr="00EC3D98">
        <w:t>рассмотрен механизм снижения эффективности структур, синтезирующих АТФ. Обоснована необходимость си</w:t>
      </w:r>
      <w:r w:rsidRPr="00EC3D98">
        <w:t>н</w:t>
      </w:r>
      <w:r w:rsidRPr="00EC3D98">
        <w:t xml:space="preserve">теза красного люминофора 670 </w:t>
      </w:r>
      <w:proofErr w:type="spellStart"/>
      <w:r w:rsidRPr="00EC3D98">
        <w:t>нм</w:t>
      </w:r>
      <w:proofErr w:type="spellEnd"/>
      <w:r w:rsidRPr="00EC3D98">
        <w:t xml:space="preserve"> и оптимизации светодиодного освещения в этой части спектра.</w:t>
      </w:r>
    </w:p>
    <w:p w:rsidR="00C92B98" w:rsidRDefault="00C92B98" w:rsidP="00C92B98">
      <w:pPr>
        <w:pStyle w:val="a7"/>
        <w:rPr>
          <w:lang w:eastAsia="ru-RU"/>
        </w:rPr>
      </w:pPr>
      <w:r w:rsidRPr="007F7DC9">
        <w:rPr>
          <w:b/>
          <w:lang w:eastAsia="ru-RU"/>
        </w:rPr>
        <w:t>Ключевые слова</w:t>
      </w:r>
      <w:r>
        <w:rPr>
          <w:b/>
          <w:lang w:eastAsia="ru-RU"/>
        </w:rPr>
        <w:t xml:space="preserve">: </w:t>
      </w:r>
      <w:r w:rsidRPr="007F7DC9">
        <w:rPr>
          <w:lang w:eastAsia="ru-RU"/>
        </w:rPr>
        <w:t xml:space="preserve">красный свет 670 </w:t>
      </w:r>
      <w:proofErr w:type="spellStart"/>
      <w:r w:rsidRPr="007F7DC9">
        <w:rPr>
          <w:lang w:eastAsia="ru-RU"/>
        </w:rPr>
        <w:t>нм</w:t>
      </w:r>
      <w:proofErr w:type="spellEnd"/>
      <w:r w:rsidRPr="007F7DC9">
        <w:rPr>
          <w:lang w:eastAsia="ru-RU"/>
        </w:rPr>
        <w:t>, структура воды, эффективность синтеза АТФ, энергетический п</w:t>
      </w:r>
      <w:r w:rsidRPr="007F7DC9">
        <w:rPr>
          <w:lang w:eastAsia="ru-RU"/>
        </w:rPr>
        <w:t>о</w:t>
      </w:r>
      <w:r w:rsidRPr="007F7DC9">
        <w:rPr>
          <w:lang w:eastAsia="ru-RU"/>
        </w:rPr>
        <w:t>тенциал митохондрии, светодиодное освещение.</w:t>
      </w: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</w:p>
    <w:p w:rsidR="00C92B98" w:rsidRDefault="00C92B98" w:rsidP="00C92B98">
      <w:pPr>
        <w:spacing w:line="240" w:lineRule="auto"/>
        <w:ind w:firstLine="454"/>
        <w:rPr>
          <w:rFonts w:ascii="Times New Roman" w:hAnsi="Times New Roman" w:cs="Times New Roman"/>
          <w:i/>
          <w:sz w:val="18"/>
        </w:rPr>
      </w:pPr>
      <w:bookmarkStart w:id="1" w:name="_GoBack"/>
      <w:bookmarkEnd w:id="1"/>
    </w:p>
    <w:sectPr w:rsidR="00C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CD"/>
    <w:rsid w:val="006C7A90"/>
    <w:rsid w:val="00BA03CD"/>
    <w:rsid w:val="00C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98"/>
    <w:rPr>
      <w:rFonts w:ascii="Calibri" w:eastAsia="Calibri" w:hAnsi="Calibri" w:cs="Calibri"/>
    </w:rPr>
  </w:style>
  <w:style w:type="paragraph" w:styleId="1">
    <w:name w:val="heading 1"/>
    <w:aliases w:val="Раздел,Заголовок 1 Знак Знак,Заголовок 1 Знак Знак Знак,H1,Заголовок 1 Знак2 Знак,Заголовок 1 Знак1 Знак Знак,Заголовок 1 Знак Знак1 Знак Знак,Заголовок 1 Знак Знак2 Знак,Заголовок 1 Знак1 Знак1,Заголовок 1 Знак Знак1 Знак1,Ten bai"/>
    <w:basedOn w:val="a0"/>
    <w:next w:val="a"/>
    <w:link w:val="11"/>
    <w:qFormat/>
    <w:rsid w:val="00C92B98"/>
    <w:pPr>
      <w:spacing w:before="0" w:beforeAutospacing="0" w:after="0" w:afterAutospacing="0" w:line="288" w:lineRule="auto"/>
      <w:outlineLvl w:val="0"/>
    </w:pPr>
    <w:rPr>
      <w:rFonts w:ascii="Times New Roman" w:eastAsia="TimesNewRomanPSMT" w:hAnsi="Times New Roman"/>
      <w:b/>
      <w:sz w:val="24"/>
      <w:szCs w:val="28"/>
    </w:rPr>
  </w:style>
  <w:style w:type="paragraph" w:styleId="2">
    <w:name w:val="heading 2"/>
    <w:aliases w:val="Заголовок 2 Знак Знак Знак,Заголовок 2 Знак Знак Знак Знак,Заголовок 2 Знак Знак,H2,h2,Ten tac gia,Заголовок 2 Знак1 Знак Знак"/>
    <w:next w:val="a"/>
    <w:link w:val="21"/>
    <w:qFormat/>
    <w:rsid w:val="00C92B98"/>
    <w:pPr>
      <w:spacing w:before="160" w:after="0" w:line="240" w:lineRule="auto"/>
      <w:outlineLvl w:val="1"/>
    </w:pPr>
    <w:rPr>
      <w:rFonts w:ascii="Times New Roman" w:eastAsia="Calibri" w:hAnsi="Times New Roman" w:cs="Arial"/>
      <w:b/>
      <w:bCs/>
      <w:noProof/>
      <w:sz w:val="24"/>
      <w:szCs w:val="28"/>
      <w:lang w:eastAsia="ru-RU"/>
    </w:rPr>
  </w:style>
  <w:style w:type="paragraph" w:styleId="3">
    <w:name w:val="heading 3"/>
    <w:aliases w:val="H3,Заголовок 3 Знак Знак Знак Знак,Заголовок 3 Знак1,Заголовок 3 Знак Знак,Заголовок 3 Знак Знак Знак Знак Знак Знак Знак Знак Знак Знак,Заголовок 3 Знак2,Заголовок 3 Знак Знак1,Заголовок 3 Знак1 Знак,Заголовок 3 Знак Знак Знак,Dia chi"/>
    <w:basedOn w:val="7"/>
    <w:next w:val="a"/>
    <w:link w:val="33"/>
    <w:qFormat/>
    <w:rsid w:val="00C92B98"/>
    <w:pPr>
      <w:pageBreakBefore w:val="0"/>
      <w:pBdr>
        <w:bottom w:val="none" w:sz="0" w:space="0" w:color="auto"/>
      </w:pBdr>
      <w:spacing w:after="0"/>
      <w:outlineLvl w:val="2"/>
    </w:pPr>
    <w:rPr>
      <w:b w:val="0"/>
      <w:caps w:val="0"/>
      <w:sz w:val="20"/>
      <w:szCs w:val="24"/>
    </w:rPr>
  </w:style>
  <w:style w:type="paragraph" w:styleId="7">
    <w:name w:val="heading 7"/>
    <w:aliases w:val="muc 1"/>
    <w:basedOn w:val="a1"/>
    <w:next w:val="a"/>
    <w:link w:val="70"/>
    <w:qFormat/>
    <w:rsid w:val="00C92B98"/>
    <w:pPr>
      <w:pBdr>
        <w:bottom w:val="thinThickSmallGap" w:sz="24" w:space="1" w:color="auto"/>
      </w:pBdr>
      <w:spacing w:after="360"/>
      <w:jc w:val="left"/>
      <w:outlineLvl w:val="6"/>
    </w:pPr>
    <w:rPr>
      <w:b/>
      <w:cap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C9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uiPriority w:val="9"/>
    <w:semiHidden/>
    <w:rsid w:val="00C92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uiPriority w:val="9"/>
    <w:semiHidden/>
    <w:rsid w:val="00C92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aliases w:val="muc 1 Знак"/>
    <w:basedOn w:val="a2"/>
    <w:link w:val="7"/>
    <w:rsid w:val="00C92B98"/>
    <w:rPr>
      <w:rFonts w:ascii="Times New Roman" w:eastAsia="Times New Roman" w:hAnsi="Times New Roman" w:cs="Arial"/>
      <w:b/>
      <w:bCs/>
      <w:caps/>
      <w:noProof/>
      <w:sz w:val="32"/>
      <w:szCs w:val="32"/>
      <w:lang w:eastAsia="ru-RU"/>
    </w:rPr>
  </w:style>
  <w:style w:type="paragraph" w:styleId="a0">
    <w:name w:val="Normal (Web)"/>
    <w:aliases w:val="Обычный (Web)"/>
    <w:basedOn w:val="a"/>
    <w:link w:val="12"/>
    <w:rsid w:val="00C92B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бычный (веб) Знак1"/>
    <w:aliases w:val="Обычный (Web) Знак1"/>
    <w:link w:val="a0"/>
    <w:rsid w:val="00C92B98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Заголовок 1 Знак1"/>
    <w:aliases w:val="Раздел Знак,Заголовок 1 Знак Знак Знак3,Заголовок 1 Знак Знак Знак Знак1,H1 Знак2,Заголовок 1 Знак2 Знак Знак2,Заголовок 1 Знак1 Знак Знак Знак2,Заголовок 1 Знак Знак1 Знак Знак Знак2,Заголовок 1 Знак Знак2 Знак Знак2,Ten bai Знак"/>
    <w:link w:val="1"/>
    <w:locked/>
    <w:rsid w:val="00C92B98"/>
    <w:rPr>
      <w:rFonts w:ascii="Times New Roman" w:eastAsia="TimesNewRomanPSMT" w:hAnsi="Times New Roman" w:cs="Arial"/>
      <w:b/>
      <w:sz w:val="24"/>
      <w:szCs w:val="28"/>
      <w:lang w:eastAsia="ru-RU"/>
    </w:rPr>
  </w:style>
  <w:style w:type="character" w:customStyle="1" w:styleId="21">
    <w:name w:val="Заголовок 2 Знак1"/>
    <w:aliases w:val="Заголовок 2 Знак Знак Знак Знак3,Заголовок 2 Знак Знак Знак Знак Знак1,Заголовок 2 Знак Знак2,Заголовок 2 Знак Знак Знак3,H2 Знак1,h2 Знак1,Ten tac gia Знак,Заголовок 2 Знак1 Знак Знак Знак1"/>
    <w:link w:val="2"/>
    <w:locked/>
    <w:rsid w:val="00C92B98"/>
    <w:rPr>
      <w:rFonts w:ascii="Times New Roman" w:eastAsia="Calibri" w:hAnsi="Times New Roman" w:cs="Arial"/>
      <w:b/>
      <w:bCs/>
      <w:noProof/>
      <w:sz w:val="24"/>
      <w:szCs w:val="28"/>
      <w:lang w:eastAsia="ru-RU"/>
    </w:rPr>
  </w:style>
  <w:style w:type="paragraph" w:customStyle="1" w:styleId="a1">
    <w:name w:val="удк"/>
    <w:basedOn w:val="a"/>
    <w:link w:val="a5"/>
    <w:rsid w:val="00C92B98"/>
    <w:pPr>
      <w:pageBreakBefore/>
      <w:tabs>
        <w:tab w:val="right" w:pos="7371"/>
      </w:tabs>
      <w:autoSpaceDE w:val="0"/>
      <w:autoSpaceDN w:val="0"/>
      <w:adjustRightInd w:val="0"/>
      <w:spacing w:before="120" w:after="240" w:line="240" w:lineRule="auto"/>
      <w:jc w:val="both"/>
    </w:pPr>
    <w:rPr>
      <w:rFonts w:ascii="Times New Roman" w:eastAsia="Times New Roman" w:hAnsi="Times New Roman" w:cs="Arial"/>
      <w:bCs/>
      <w:noProof/>
      <w:szCs w:val="24"/>
      <w:lang w:eastAsia="ru-RU"/>
    </w:rPr>
  </w:style>
  <w:style w:type="character" w:customStyle="1" w:styleId="a5">
    <w:name w:val="удк Знак"/>
    <w:link w:val="a1"/>
    <w:rsid w:val="00C92B98"/>
    <w:rPr>
      <w:rFonts w:ascii="Times New Roman" w:eastAsia="Times New Roman" w:hAnsi="Times New Roman" w:cs="Arial"/>
      <w:bCs/>
      <w:noProof/>
      <w:szCs w:val="24"/>
      <w:lang w:eastAsia="ru-RU"/>
    </w:rPr>
  </w:style>
  <w:style w:type="character" w:customStyle="1" w:styleId="33">
    <w:name w:val="Заголовок 3 Знак3"/>
    <w:aliases w:val="H3 Знак1,Заголовок 3 Знак Знак Знак Знак Знак1,Заголовок 3 Знак1 Знак2,Заголовок 3 Знак Знак Знак2,Заголовок 3 Знак Знак Знак Знак Знак Знак Знак Знак Знак Знак Знак1,Заголовок 3 Знак2 Знак1,Заголовок 3 Знак Знак1 Знак1,Dia chi Знак"/>
    <w:link w:val="3"/>
    <w:rsid w:val="00C92B98"/>
    <w:rPr>
      <w:rFonts w:ascii="Times New Roman" w:eastAsia="Times New Roman" w:hAnsi="Times New Roman" w:cs="Arial"/>
      <w:bCs/>
      <w:noProof/>
      <w:sz w:val="20"/>
      <w:szCs w:val="24"/>
      <w:lang w:eastAsia="ru-RU"/>
    </w:rPr>
  </w:style>
  <w:style w:type="paragraph" w:customStyle="1" w:styleId="a6">
    <w:name w:val="граница"/>
    <w:rsid w:val="00C92B98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7">
    <w:name w:val="аннотация"/>
    <w:basedOn w:val="a"/>
    <w:link w:val="a8"/>
    <w:rsid w:val="00C92B98"/>
    <w:pPr>
      <w:autoSpaceDE w:val="0"/>
      <w:autoSpaceDN w:val="0"/>
      <w:adjustRightInd w:val="0"/>
      <w:spacing w:after="0" w:line="235" w:lineRule="auto"/>
      <w:ind w:firstLine="454"/>
      <w:jc w:val="both"/>
    </w:pPr>
    <w:rPr>
      <w:rFonts w:ascii="Times New Roman" w:eastAsia="Times New Roman" w:hAnsi="Times New Roman" w:cs="Times New Roman"/>
      <w:i/>
      <w:spacing w:val="2"/>
      <w:sz w:val="18"/>
      <w:szCs w:val="20"/>
      <w:lang w:bidi="en-US"/>
    </w:rPr>
  </w:style>
  <w:style w:type="character" w:customStyle="1" w:styleId="a8">
    <w:name w:val="аннотация Знак"/>
    <w:link w:val="a7"/>
    <w:rsid w:val="00C92B98"/>
    <w:rPr>
      <w:rFonts w:ascii="Times New Roman" w:eastAsia="Times New Roman" w:hAnsi="Times New Roman" w:cs="Times New Roman"/>
      <w:i/>
      <w:spacing w:val="2"/>
      <w:sz w:val="18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C9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C92B98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2"/>
    <w:rsid w:val="00C92B98"/>
  </w:style>
  <w:style w:type="character" w:customStyle="1" w:styleId="longtext1">
    <w:name w:val="long_text1"/>
    <w:rsid w:val="00C92B98"/>
    <w:rPr>
      <w:sz w:val="22"/>
      <w:szCs w:val="22"/>
    </w:rPr>
  </w:style>
  <w:style w:type="character" w:customStyle="1" w:styleId="lrzxr">
    <w:name w:val="lrzxr"/>
    <w:rsid w:val="00C92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98"/>
    <w:rPr>
      <w:rFonts w:ascii="Calibri" w:eastAsia="Calibri" w:hAnsi="Calibri" w:cs="Calibri"/>
    </w:rPr>
  </w:style>
  <w:style w:type="paragraph" w:styleId="1">
    <w:name w:val="heading 1"/>
    <w:aliases w:val="Раздел,Заголовок 1 Знак Знак,Заголовок 1 Знак Знак Знак,H1,Заголовок 1 Знак2 Знак,Заголовок 1 Знак1 Знак Знак,Заголовок 1 Знак Знак1 Знак Знак,Заголовок 1 Знак Знак2 Знак,Заголовок 1 Знак1 Знак1,Заголовок 1 Знак Знак1 Знак1,Ten bai"/>
    <w:basedOn w:val="a0"/>
    <w:next w:val="a"/>
    <w:link w:val="11"/>
    <w:qFormat/>
    <w:rsid w:val="00C92B98"/>
    <w:pPr>
      <w:spacing w:before="0" w:beforeAutospacing="0" w:after="0" w:afterAutospacing="0" w:line="288" w:lineRule="auto"/>
      <w:outlineLvl w:val="0"/>
    </w:pPr>
    <w:rPr>
      <w:rFonts w:ascii="Times New Roman" w:eastAsia="TimesNewRomanPSMT" w:hAnsi="Times New Roman"/>
      <w:b/>
      <w:sz w:val="24"/>
      <w:szCs w:val="28"/>
    </w:rPr>
  </w:style>
  <w:style w:type="paragraph" w:styleId="2">
    <w:name w:val="heading 2"/>
    <w:aliases w:val="Заголовок 2 Знак Знак Знак,Заголовок 2 Знак Знак Знак Знак,Заголовок 2 Знак Знак,H2,h2,Ten tac gia,Заголовок 2 Знак1 Знак Знак"/>
    <w:next w:val="a"/>
    <w:link w:val="21"/>
    <w:qFormat/>
    <w:rsid w:val="00C92B98"/>
    <w:pPr>
      <w:spacing w:before="160" w:after="0" w:line="240" w:lineRule="auto"/>
      <w:outlineLvl w:val="1"/>
    </w:pPr>
    <w:rPr>
      <w:rFonts w:ascii="Times New Roman" w:eastAsia="Calibri" w:hAnsi="Times New Roman" w:cs="Arial"/>
      <w:b/>
      <w:bCs/>
      <w:noProof/>
      <w:sz w:val="24"/>
      <w:szCs w:val="28"/>
      <w:lang w:eastAsia="ru-RU"/>
    </w:rPr>
  </w:style>
  <w:style w:type="paragraph" w:styleId="3">
    <w:name w:val="heading 3"/>
    <w:aliases w:val="H3,Заголовок 3 Знак Знак Знак Знак,Заголовок 3 Знак1,Заголовок 3 Знак Знак,Заголовок 3 Знак Знак Знак Знак Знак Знак Знак Знак Знак Знак,Заголовок 3 Знак2,Заголовок 3 Знак Знак1,Заголовок 3 Знак1 Знак,Заголовок 3 Знак Знак Знак,Dia chi"/>
    <w:basedOn w:val="7"/>
    <w:next w:val="a"/>
    <w:link w:val="33"/>
    <w:qFormat/>
    <w:rsid w:val="00C92B98"/>
    <w:pPr>
      <w:pageBreakBefore w:val="0"/>
      <w:pBdr>
        <w:bottom w:val="none" w:sz="0" w:space="0" w:color="auto"/>
      </w:pBdr>
      <w:spacing w:after="0"/>
      <w:outlineLvl w:val="2"/>
    </w:pPr>
    <w:rPr>
      <w:b w:val="0"/>
      <w:caps w:val="0"/>
      <w:sz w:val="20"/>
      <w:szCs w:val="24"/>
    </w:rPr>
  </w:style>
  <w:style w:type="paragraph" w:styleId="7">
    <w:name w:val="heading 7"/>
    <w:aliases w:val="muc 1"/>
    <w:basedOn w:val="a1"/>
    <w:next w:val="a"/>
    <w:link w:val="70"/>
    <w:qFormat/>
    <w:rsid w:val="00C92B98"/>
    <w:pPr>
      <w:pBdr>
        <w:bottom w:val="thinThickSmallGap" w:sz="24" w:space="1" w:color="auto"/>
      </w:pBdr>
      <w:spacing w:after="360"/>
      <w:jc w:val="left"/>
      <w:outlineLvl w:val="6"/>
    </w:pPr>
    <w:rPr>
      <w:b/>
      <w:cap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C9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uiPriority w:val="9"/>
    <w:semiHidden/>
    <w:rsid w:val="00C92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uiPriority w:val="9"/>
    <w:semiHidden/>
    <w:rsid w:val="00C92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aliases w:val="muc 1 Знак"/>
    <w:basedOn w:val="a2"/>
    <w:link w:val="7"/>
    <w:rsid w:val="00C92B98"/>
    <w:rPr>
      <w:rFonts w:ascii="Times New Roman" w:eastAsia="Times New Roman" w:hAnsi="Times New Roman" w:cs="Arial"/>
      <w:b/>
      <w:bCs/>
      <w:caps/>
      <w:noProof/>
      <w:sz w:val="32"/>
      <w:szCs w:val="32"/>
      <w:lang w:eastAsia="ru-RU"/>
    </w:rPr>
  </w:style>
  <w:style w:type="paragraph" w:styleId="a0">
    <w:name w:val="Normal (Web)"/>
    <w:aliases w:val="Обычный (Web)"/>
    <w:basedOn w:val="a"/>
    <w:link w:val="12"/>
    <w:rsid w:val="00C92B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бычный (веб) Знак1"/>
    <w:aliases w:val="Обычный (Web) Знак1"/>
    <w:link w:val="a0"/>
    <w:rsid w:val="00C92B98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Заголовок 1 Знак1"/>
    <w:aliases w:val="Раздел Знак,Заголовок 1 Знак Знак Знак3,Заголовок 1 Знак Знак Знак Знак1,H1 Знак2,Заголовок 1 Знак2 Знак Знак2,Заголовок 1 Знак1 Знак Знак Знак2,Заголовок 1 Знак Знак1 Знак Знак Знак2,Заголовок 1 Знак Знак2 Знак Знак2,Ten bai Знак"/>
    <w:link w:val="1"/>
    <w:locked/>
    <w:rsid w:val="00C92B98"/>
    <w:rPr>
      <w:rFonts w:ascii="Times New Roman" w:eastAsia="TimesNewRomanPSMT" w:hAnsi="Times New Roman" w:cs="Arial"/>
      <w:b/>
      <w:sz w:val="24"/>
      <w:szCs w:val="28"/>
      <w:lang w:eastAsia="ru-RU"/>
    </w:rPr>
  </w:style>
  <w:style w:type="character" w:customStyle="1" w:styleId="21">
    <w:name w:val="Заголовок 2 Знак1"/>
    <w:aliases w:val="Заголовок 2 Знак Знак Знак Знак3,Заголовок 2 Знак Знак Знак Знак Знак1,Заголовок 2 Знак Знак2,Заголовок 2 Знак Знак Знак3,H2 Знак1,h2 Знак1,Ten tac gia Знак,Заголовок 2 Знак1 Знак Знак Знак1"/>
    <w:link w:val="2"/>
    <w:locked/>
    <w:rsid w:val="00C92B98"/>
    <w:rPr>
      <w:rFonts w:ascii="Times New Roman" w:eastAsia="Calibri" w:hAnsi="Times New Roman" w:cs="Arial"/>
      <w:b/>
      <w:bCs/>
      <w:noProof/>
      <w:sz w:val="24"/>
      <w:szCs w:val="28"/>
      <w:lang w:eastAsia="ru-RU"/>
    </w:rPr>
  </w:style>
  <w:style w:type="paragraph" w:customStyle="1" w:styleId="a1">
    <w:name w:val="удк"/>
    <w:basedOn w:val="a"/>
    <w:link w:val="a5"/>
    <w:rsid w:val="00C92B98"/>
    <w:pPr>
      <w:pageBreakBefore/>
      <w:tabs>
        <w:tab w:val="right" w:pos="7371"/>
      </w:tabs>
      <w:autoSpaceDE w:val="0"/>
      <w:autoSpaceDN w:val="0"/>
      <w:adjustRightInd w:val="0"/>
      <w:spacing w:before="120" w:after="240" w:line="240" w:lineRule="auto"/>
      <w:jc w:val="both"/>
    </w:pPr>
    <w:rPr>
      <w:rFonts w:ascii="Times New Roman" w:eastAsia="Times New Roman" w:hAnsi="Times New Roman" w:cs="Arial"/>
      <w:bCs/>
      <w:noProof/>
      <w:szCs w:val="24"/>
      <w:lang w:eastAsia="ru-RU"/>
    </w:rPr>
  </w:style>
  <w:style w:type="character" w:customStyle="1" w:styleId="a5">
    <w:name w:val="удк Знак"/>
    <w:link w:val="a1"/>
    <w:rsid w:val="00C92B98"/>
    <w:rPr>
      <w:rFonts w:ascii="Times New Roman" w:eastAsia="Times New Roman" w:hAnsi="Times New Roman" w:cs="Arial"/>
      <w:bCs/>
      <w:noProof/>
      <w:szCs w:val="24"/>
      <w:lang w:eastAsia="ru-RU"/>
    </w:rPr>
  </w:style>
  <w:style w:type="character" w:customStyle="1" w:styleId="33">
    <w:name w:val="Заголовок 3 Знак3"/>
    <w:aliases w:val="H3 Знак1,Заголовок 3 Знак Знак Знак Знак Знак1,Заголовок 3 Знак1 Знак2,Заголовок 3 Знак Знак Знак2,Заголовок 3 Знак Знак Знак Знак Знак Знак Знак Знак Знак Знак Знак1,Заголовок 3 Знак2 Знак1,Заголовок 3 Знак Знак1 Знак1,Dia chi Знак"/>
    <w:link w:val="3"/>
    <w:rsid w:val="00C92B98"/>
    <w:rPr>
      <w:rFonts w:ascii="Times New Roman" w:eastAsia="Times New Roman" w:hAnsi="Times New Roman" w:cs="Arial"/>
      <w:bCs/>
      <w:noProof/>
      <w:sz w:val="20"/>
      <w:szCs w:val="24"/>
      <w:lang w:eastAsia="ru-RU"/>
    </w:rPr>
  </w:style>
  <w:style w:type="paragraph" w:customStyle="1" w:styleId="a6">
    <w:name w:val="граница"/>
    <w:rsid w:val="00C92B98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7">
    <w:name w:val="аннотация"/>
    <w:basedOn w:val="a"/>
    <w:link w:val="a8"/>
    <w:rsid w:val="00C92B98"/>
    <w:pPr>
      <w:autoSpaceDE w:val="0"/>
      <w:autoSpaceDN w:val="0"/>
      <w:adjustRightInd w:val="0"/>
      <w:spacing w:after="0" w:line="235" w:lineRule="auto"/>
      <w:ind w:firstLine="454"/>
      <w:jc w:val="both"/>
    </w:pPr>
    <w:rPr>
      <w:rFonts w:ascii="Times New Roman" w:eastAsia="Times New Roman" w:hAnsi="Times New Roman" w:cs="Times New Roman"/>
      <w:i/>
      <w:spacing w:val="2"/>
      <w:sz w:val="18"/>
      <w:szCs w:val="20"/>
      <w:lang w:bidi="en-US"/>
    </w:rPr>
  </w:style>
  <w:style w:type="character" w:customStyle="1" w:styleId="a8">
    <w:name w:val="аннотация Знак"/>
    <w:link w:val="a7"/>
    <w:rsid w:val="00C92B98"/>
    <w:rPr>
      <w:rFonts w:ascii="Times New Roman" w:eastAsia="Times New Roman" w:hAnsi="Times New Roman" w:cs="Times New Roman"/>
      <w:i/>
      <w:spacing w:val="2"/>
      <w:sz w:val="18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C9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C92B98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2"/>
    <w:rsid w:val="00C92B98"/>
  </w:style>
  <w:style w:type="character" w:customStyle="1" w:styleId="longtext1">
    <w:name w:val="long_text1"/>
    <w:rsid w:val="00C92B98"/>
    <w:rPr>
      <w:sz w:val="22"/>
      <w:szCs w:val="22"/>
    </w:rPr>
  </w:style>
  <w:style w:type="character" w:customStyle="1" w:styleId="lrzxr">
    <w:name w:val="lrzxr"/>
    <w:rsid w:val="00C9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7177</Words>
  <Characters>40915</Characters>
  <Application>Microsoft Office Word</Application>
  <DocSecurity>0</DocSecurity>
  <Lines>340</Lines>
  <Paragraphs>95</Paragraphs>
  <ScaleCrop>false</ScaleCrop>
  <Company/>
  <LinksUpToDate>false</LinksUpToDate>
  <CharactersWithSpaces>47997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Нижегородова Александра Андреевна</dc:creator>
  <cp:keywords/>
  <dc:description/>
  <cp:lastModifiedBy>Нижегородова Александра Андреевна</cp:lastModifiedBy>
  <cp:revision>2</cp:revision>
  <dcterms:created xsi:type="dcterms:W3CDTF">2019-08-13T11:59:00Z</dcterms:created>
  <dcterms:modified xsi:type="dcterms:W3CDTF">2019-08-13T12:08:00Z</dcterms:modified>
</cp:coreProperties>
</file>