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36" w:rsidRPr="00D65E63" w:rsidRDefault="00AB0136" w:rsidP="00AB0136">
      <w:pPr>
        <w:jc w:val="center"/>
        <w:rPr>
          <w:b/>
          <w:sz w:val="24"/>
          <w:szCs w:val="24"/>
        </w:rPr>
      </w:pPr>
      <w:r w:rsidRPr="00D65E63">
        <w:rPr>
          <w:b/>
          <w:sz w:val="24"/>
          <w:szCs w:val="24"/>
        </w:rPr>
        <w:t xml:space="preserve">Дезинфекционное дело № </w:t>
      </w:r>
      <w:r w:rsidR="00FC54F6">
        <w:rPr>
          <w:b/>
          <w:sz w:val="24"/>
          <w:szCs w:val="24"/>
        </w:rPr>
        <w:t>2</w:t>
      </w:r>
      <w:r w:rsidRPr="00D65E63">
        <w:rPr>
          <w:b/>
          <w:sz w:val="24"/>
          <w:szCs w:val="24"/>
        </w:rPr>
        <w:t xml:space="preserve"> / 20</w:t>
      </w:r>
      <w:r w:rsidR="00CF790F">
        <w:rPr>
          <w:b/>
          <w:sz w:val="24"/>
          <w:szCs w:val="24"/>
        </w:rPr>
        <w:t>20</w:t>
      </w:r>
    </w:p>
    <w:p w:rsidR="00AB0136" w:rsidRPr="00D65E63" w:rsidRDefault="00AB0136" w:rsidP="00AB0136">
      <w:pPr>
        <w:jc w:val="center"/>
        <w:rPr>
          <w:b/>
          <w:sz w:val="24"/>
          <w:szCs w:val="24"/>
        </w:rPr>
      </w:pPr>
      <w:r w:rsidRPr="00D65E63">
        <w:rPr>
          <w:b/>
          <w:sz w:val="24"/>
          <w:szCs w:val="24"/>
        </w:rPr>
        <w:t>СОДЕРЖАНИЕ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490"/>
        <w:gridCol w:w="688"/>
      </w:tblGrid>
      <w:tr w:rsidR="00AF0E99" w:rsidTr="00A62D9A">
        <w:trPr>
          <w:cantSplit/>
        </w:trPr>
        <w:tc>
          <w:tcPr>
            <w:tcW w:w="9604" w:type="dxa"/>
            <w:gridSpan w:val="3"/>
          </w:tcPr>
          <w:p w:rsidR="00AF0E99" w:rsidRPr="00CF790F" w:rsidRDefault="00AA751C" w:rsidP="004943E3">
            <w:pPr>
              <w:pStyle w:val="1"/>
              <w:rPr>
                <w:rFonts w:ascii="Times New Roman" w:hAnsi="Times New Roman" w:cs="Times New Roman"/>
              </w:rPr>
            </w:pPr>
            <w:r w:rsidRPr="00CF790F">
              <w:rPr>
                <w:rFonts w:ascii="Times New Roman" w:hAnsi="Times New Roman" w:cs="Times New Roman"/>
              </w:rPr>
              <w:t>ДЕЗИНФЕКЦИЯ</w:t>
            </w:r>
          </w:p>
        </w:tc>
      </w:tr>
      <w:tr w:rsidR="00FC54F6" w:rsidTr="00605689">
        <w:trPr>
          <w:cantSplit/>
        </w:trPr>
        <w:tc>
          <w:tcPr>
            <w:tcW w:w="426" w:type="dxa"/>
          </w:tcPr>
          <w:p w:rsidR="00FC54F6" w:rsidRDefault="00FC54F6" w:rsidP="00AB0136"/>
        </w:tc>
        <w:tc>
          <w:tcPr>
            <w:tcW w:w="8490" w:type="dxa"/>
          </w:tcPr>
          <w:p w:rsidR="00FC54F6" w:rsidRDefault="00FC54F6" w:rsidP="00FC54F6">
            <w:pPr>
              <w:pStyle w:val="2"/>
            </w:pPr>
            <w:r>
              <w:t xml:space="preserve">Оценка устойчивости </w:t>
            </w:r>
            <w:proofErr w:type="spellStart"/>
            <w:r>
              <w:t>нетуберкулёзных</w:t>
            </w:r>
            <w:proofErr w:type="spellEnd"/>
            <w:r>
              <w:t xml:space="preserve"> микобактерий к дезинфицирующим средствам: обзор эпидемиологических исследований</w:t>
            </w:r>
          </w:p>
          <w:p w:rsidR="00FC54F6" w:rsidRDefault="00FC54F6" w:rsidP="00FC54F6">
            <w:r>
              <w:t>И.В. Петров</w:t>
            </w:r>
            <w:r w:rsidRPr="00FC54F6">
              <w:rPr>
                <w:vertAlign w:val="superscript"/>
              </w:rPr>
              <w:t>1,2</w:t>
            </w:r>
            <w:r>
              <w:t>, Т.Х. Амирова</w:t>
            </w:r>
            <w:r w:rsidRPr="00FC54F6">
              <w:rPr>
                <w:vertAlign w:val="superscript"/>
              </w:rPr>
              <w:t>1</w:t>
            </w:r>
            <w:r>
              <w:t>, Л.В. Петрова</w:t>
            </w:r>
            <w:r w:rsidRPr="00FC54F6">
              <w:rPr>
                <w:vertAlign w:val="superscript"/>
              </w:rPr>
              <w:t>1,3</w:t>
            </w:r>
            <w:r>
              <w:t>, Ф.С. Петрова</w:t>
            </w:r>
            <w:r w:rsidRPr="00FC54F6">
              <w:rPr>
                <w:vertAlign w:val="superscript"/>
              </w:rPr>
              <w:t>1,4</w:t>
            </w:r>
          </w:p>
          <w:p w:rsidR="00FC54F6" w:rsidRDefault="00FC54F6" w:rsidP="00FC54F6">
            <w:pPr>
              <w:pStyle w:val="3"/>
            </w:pPr>
            <w:r w:rsidRPr="00FC54F6">
              <w:rPr>
                <w:vertAlign w:val="superscript"/>
              </w:rPr>
              <w:t>1</w:t>
            </w:r>
            <w:r>
              <w:t>ФГБОУ ВО «Марийский государственный университет»: 424000, Республика Марий Эл, Йошкар-Ола, пл. Ленина, д. 1;</w:t>
            </w:r>
          </w:p>
          <w:p w:rsidR="00FC54F6" w:rsidRDefault="00FC54F6" w:rsidP="00FC54F6">
            <w:pPr>
              <w:pStyle w:val="3"/>
            </w:pPr>
            <w:r w:rsidRPr="00FC54F6">
              <w:rPr>
                <w:vertAlign w:val="superscript"/>
              </w:rPr>
              <w:t>2</w:t>
            </w:r>
            <w:r>
              <w:t xml:space="preserve">ФГБОУ ВО «Казанский государственный медицинский </w:t>
            </w:r>
            <w:proofErr w:type="spellStart"/>
            <w:r>
              <w:t>университет»Министерства</w:t>
            </w:r>
            <w:proofErr w:type="spellEnd"/>
            <w:r>
              <w:t xml:space="preserve"> здравоохранения Российской Федерации: 420012, Республика Татарстан, Казань, ул. Бутлерова, д. 49;</w:t>
            </w:r>
          </w:p>
          <w:p w:rsidR="00FC54F6" w:rsidRDefault="00FC54F6" w:rsidP="00FC54F6">
            <w:pPr>
              <w:pStyle w:val="3"/>
            </w:pPr>
            <w:r w:rsidRPr="00FC54F6">
              <w:rPr>
                <w:vertAlign w:val="superscript"/>
              </w:rPr>
              <w:t>3</w:t>
            </w:r>
            <w:r>
              <w:t>ГБУ Республики Марий Эл «Республиканский противотуберкулёзный диспансер»: 424037, Республика Марий Эл, Йошкар-Ола, ул. Больничная, д. 22;</w:t>
            </w:r>
          </w:p>
          <w:p w:rsidR="00FC54F6" w:rsidRDefault="00FC54F6" w:rsidP="00FC54F6">
            <w:pPr>
              <w:pStyle w:val="3"/>
            </w:pPr>
            <w:r w:rsidRPr="00FC54F6">
              <w:rPr>
                <w:vertAlign w:val="superscript"/>
              </w:rPr>
              <w:t>4</w:t>
            </w: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Республике Татарстан (Татарстан): 420111, Республика Татарстан, Казань, ул. Большая Красная, д. 30.</w:t>
            </w:r>
          </w:p>
          <w:p w:rsidR="00FC54F6" w:rsidRDefault="00FC54F6" w:rsidP="00FC54F6">
            <w:pPr>
              <w:pStyle w:val="a4"/>
            </w:pPr>
            <w:r>
              <w:t xml:space="preserve">Целью данного обзора являлся анализ современных представлений об устойчивости </w:t>
            </w:r>
            <w:proofErr w:type="spellStart"/>
            <w:r>
              <w:t>нетуберкулёзных</w:t>
            </w:r>
            <w:proofErr w:type="spellEnd"/>
            <w:r>
              <w:t xml:space="preserve"> микобактерий к методам дезинфекции с учётом степени достоверности полученных результатов и соответствия исследований критериям доказательной медицины. Исследования, посвящённые устойчивости </w:t>
            </w:r>
            <w:proofErr w:type="spellStart"/>
            <w:r>
              <w:t>нетуберкулёзных</w:t>
            </w:r>
            <w:proofErr w:type="spellEnd"/>
            <w:r>
              <w:t xml:space="preserve"> микобактерий (НТМБ) к </w:t>
            </w:r>
            <w:proofErr w:type="spellStart"/>
            <w:r>
              <w:t>дезинфектантам</w:t>
            </w:r>
            <w:proofErr w:type="spellEnd"/>
            <w:r>
              <w:t xml:space="preserve">, были отобраны по поисковым электронным базам данных, таких как </w:t>
            </w:r>
            <w:proofErr w:type="spellStart"/>
            <w:r>
              <w:t>PubMed</w:t>
            </w:r>
            <w:proofErr w:type="spellEnd"/>
            <w:r>
              <w:t xml:space="preserve"> (https://www.ncbi.nlm.nih.gov),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(http://webofknowledge.com), Scopus (https://www.scopus.com), </w:t>
            </w:r>
            <w:proofErr w:type="spellStart"/>
            <w:r>
              <w:t>eLIBRARY</w:t>
            </w:r>
            <w:proofErr w:type="spellEnd"/>
            <w:r>
              <w:t xml:space="preserve"> (https://www.elibrary.ru) и </w:t>
            </w:r>
            <w:proofErr w:type="spellStart"/>
            <w:r>
              <w:t>ResearchGate</w:t>
            </w:r>
            <w:proofErr w:type="spellEnd"/>
            <w:r>
              <w:t xml:space="preserve"> (https://www.researchgate.net). Поиск осуществлялся по ключевым словам: </w:t>
            </w:r>
            <w:proofErr w:type="spellStart"/>
            <w:r>
              <w:t>Nontuberculous</w:t>
            </w:r>
            <w:proofErr w:type="spellEnd"/>
            <w:r>
              <w:t xml:space="preserve"> </w:t>
            </w:r>
            <w:proofErr w:type="spellStart"/>
            <w:r>
              <w:t>Mycobacteria</w:t>
            </w:r>
            <w:proofErr w:type="spellEnd"/>
            <w:r>
              <w:t xml:space="preserve">, </w:t>
            </w:r>
            <w:proofErr w:type="spellStart"/>
            <w:r>
              <w:t>Disinfection</w:t>
            </w:r>
            <w:proofErr w:type="spellEnd"/>
            <w:r>
              <w:t xml:space="preserve">, </w:t>
            </w:r>
            <w:proofErr w:type="spellStart"/>
            <w:r>
              <w:t>Mycobacteriosis</w:t>
            </w:r>
            <w:proofErr w:type="spellEnd"/>
            <w:r>
              <w:t>. Авторами было отобрано 113 источников литературы из 235 найденных, с учётом ключевых слов. После проведённого анализа литературы, отобранной по поисковым словам, в настоящее исследование было включено 35 источников.</w:t>
            </w:r>
          </w:p>
          <w:p w:rsidR="00FC54F6" w:rsidRDefault="00FC54F6" w:rsidP="00FC54F6">
            <w:pPr>
              <w:pStyle w:val="a4"/>
            </w:pPr>
            <w:r>
              <w:t>Результат проведённого поиска свидетельствует, что в практике основными методами дезинфекции в отношении НТМБ являются химический метод обеззараживания (использование дезинфицирующих средств, содержащих хлорамин, гипохлорит кальция, перекись водорода, ионы серебра) и физический (использование повышенной температуры, УФ-излучения).</w:t>
            </w:r>
          </w:p>
          <w:p w:rsidR="00FC54F6" w:rsidRDefault="00FC54F6" w:rsidP="00FC54F6">
            <w:pPr>
              <w:pStyle w:val="a4"/>
            </w:pPr>
            <w:r w:rsidRPr="00FC54F6">
              <w:rPr>
                <w:b/>
              </w:rPr>
              <w:t>Ключевые слова:</w:t>
            </w:r>
            <w:r>
              <w:t xml:space="preserve"> </w:t>
            </w:r>
            <w:proofErr w:type="spellStart"/>
            <w:r>
              <w:t>нетуберкулёзные</w:t>
            </w:r>
            <w:proofErr w:type="spellEnd"/>
            <w:r>
              <w:t xml:space="preserve"> микобактерии, </w:t>
            </w:r>
            <w:proofErr w:type="spellStart"/>
            <w:r>
              <w:t>микобактериоз</w:t>
            </w:r>
            <w:proofErr w:type="spellEnd"/>
            <w:r>
              <w:t xml:space="preserve">, дезинфекция, </w:t>
            </w:r>
            <w:proofErr w:type="spellStart"/>
            <w:r>
              <w:t>дезинфектология</w:t>
            </w:r>
            <w:proofErr w:type="spellEnd"/>
            <w:r>
              <w:t>, эпидемиология.</w:t>
            </w:r>
          </w:p>
        </w:tc>
        <w:tc>
          <w:tcPr>
            <w:tcW w:w="688" w:type="dxa"/>
          </w:tcPr>
          <w:p w:rsidR="00FC54F6" w:rsidRDefault="00FC54F6" w:rsidP="00FC54F6">
            <w:r>
              <w:t>С. 5</w:t>
            </w:r>
          </w:p>
        </w:tc>
      </w:tr>
      <w:tr w:rsidR="00FC54F6" w:rsidTr="00605689">
        <w:trPr>
          <w:cantSplit/>
        </w:trPr>
        <w:tc>
          <w:tcPr>
            <w:tcW w:w="426" w:type="dxa"/>
          </w:tcPr>
          <w:p w:rsidR="00FC54F6" w:rsidRDefault="00FC54F6" w:rsidP="00AB0136"/>
        </w:tc>
        <w:tc>
          <w:tcPr>
            <w:tcW w:w="8490" w:type="dxa"/>
          </w:tcPr>
          <w:p w:rsidR="00FC54F6" w:rsidRDefault="00FC54F6" w:rsidP="00FC54F6">
            <w:pPr>
              <w:pStyle w:val="2"/>
            </w:pPr>
            <w:r>
              <w:t>Кожные антисептики: вчера – сегодня – завтра</w:t>
            </w:r>
          </w:p>
          <w:p w:rsidR="00FC54F6" w:rsidRDefault="00FC54F6" w:rsidP="00FC54F6">
            <w:r>
              <w:t>Т.Н. Шестопалова</w:t>
            </w:r>
            <w:r w:rsidRPr="00FC54F6">
              <w:rPr>
                <w:vertAlign w:val="superscript"/>
              </w:rPr>
              <w:t>1</w:t>
            </w:r>
            <w:r>
              <w:t>, А.Ю. Скопин</w:t>
            </w:r>
            <w:r w:rsidRPr="00FC54F6">
              <w:rPr>
                <w:vertAlign w:val="superscript"/>
              </w:rPr>
              <w:t>1,2</w:t>
            </w:r>
            <w:r>
              <w:t>, Ф.А. Мукабенов</w:t>
            </w:r>
            <w:r w:rsidRPr="00FC54F6">
              <w:rPr>
                <w:vertAlign w:val="superscript"/>
              </w:rPr>
              <w:t>1,3</w:t>
            </w:r>
          </w:p>
          <w:p w:rsidR="00FC54F6" w:rsidRDefault="00FC54F6" w:rsidP="00FC54F6">
            <w:pPr>
              <w:pStyle w:val="3"/>
            </w:pPr>
            <w:r w:rsidRPr="00FC54F6">
              <w:rPr>
                <w:vertAlign w:val="superscript"/>
              </w:rPr>
              <w:t>1</w:t>
            </w:r>
            <w:r>
              <w:t xml:space="preserve">Федеральное бюджетное учреждение науки «Научно-исследовательский институт </w:t>
            </w:r>
            <w:proofErr w:type="spellStart"/>
            <w:r>
              <w:t>дезинфектологии</w:t>
            </w:r>
            <w:proofErr w:type="spellEnd"/>
            <w:r>
              <w:t xml:space="preserve">» </w:t>
            </w:r>
            <w:proofErr w:type="spellStart"/>
            <w:r>
              <w:t>Роспотребнадзора</w:t>
            </w:r>
            <w:proofErr w:type="spellEnd"/>
            <w:r>
              <w:t>: 117246, Москва, Научный проезд, д. 18;</w:t>
            </w:r>
          </w:p>
          <w:p w:rsidR="00FC54F6" w:rsidRDefault="00FC54F6" w:rsidP="00FC54F6">
            <w:pPr>
              <w:pStyle w:val="3"/>
            </w:pPr>
            <w:r w:rsidRPr="00FC54F6">
              <w:rPr>
                <w:vertAlign w:val="superscript"/>
              </w:rPr>
              <w:t>2</w:t>
            </w:r>
            <w:r>
              <w:t>ФГАОУ ВО Первый МГМУ им. И.М. Сеченова Минздрава России): 119991, Москва, ул. Трубецкая, д. 8, стр. 2;</w:t>
            </w:r>
          </w:p>
          <w:p w:rsidR="00FC54F6" w:rsidRDefault="00FC54F6" w:rsidP="00FC54F6">
            <w:pPr>
              <w:pStyle w:val="3"/>
            </w:pPr>
            <w:r w:rsidRPr="00FC54F6">
              <w:rPr>
                <w:vertAlign w:val="superscript"/>
              </w:rPr>
              <w:t>3</w:t>
            </w:r>
            <w:r>
              <w:t xml:space="preserve">ФБУН «ЦНИИ эпидемиологии» </w:t>
            </w:r>
            <w:proofErr w:type="spellStart"/>
            <w:r>
              <w:t>Роспотребнадзора</w:t>
            </w:r>
            <w:proofErr w:type="spellEnd"/>
            <w:r>
              <w:t xml:space="preserve">:  111123, Россия, г. Москва, ул. </w:t>
            </w:r>
            <w:proofErr w:type="spellStart"/>
            <w:r>
              <w:t>Новогиреевская</w:t>
            </w:r>
            <w:proofErr w:type="spellEnd"/>
            <w:r>
              <w:t>, дом 3а.</w:t>
            </w:r>
          </w:p>
          <w:p w:rsidR="00FC54F6" w:rsidRDefault="00FC54F6" w:rsidP="00FC54F6">
            <w:pPr>
              <w:pStyle w:val="a4"/>
            </w:pPr>
            <w:r>
              <w:t>Несмотря на большое количество существующих в настоящее время эффективных кожных антисептиков проблема несоблюдения требований к их использованию остаётся актуальной. Проведённый анализ использования кожных антисептиков в 34 регионах России показал, что основными проблемами в этой сфере являются недостаточное их количество, нецелевое использование и, как следствие, нарушение технологий обработки рук персонала и кожных покровов пациентов, что является одной из основных причин распространения инфекций, связанных с оказанием медицинской помощи (ИСМП).</w:t>
            </w:r>
          </w:p>
          <w:p w:rsidR="00FC54F6" w:rsidRDefault="00FC54F6" w:rsidP="00FC54F6">
            <w:pPr>
              <w:pStyle w:val="a4"/>
            </w:pPr>
            <w:r w:rsidRPr="00FC54F6">
              <w:rPr>
                <w:b/>
              </w:rPr>
              <w:t>Ключевые слова:</w:t>
            </w:r>
            <w:r>
              <w:t xml:space="preserve"> кожные антисептики (КА), анализ деятельности медицинских организаций (МО), недостаток кожных антисептиков, стандартные операционные процедуры (</w:t>
            </w:r>
            <w:proofErr w:type="spellStart"/>
            <w:r>
              <w:t>СОПы</w:t>
            </w:r>
            <w:proofErr w:type="spellEnd"/>
            <w:r>
              <w:t>), нецелевое использование кожных антисептиков.</w:t>
            </w:r>
          </w:p>
        </w:tc>
        <w:tc>
          <w:tcPr>
            <w:tcW w:w="688" w:type="dxa"/>
          </w:tcPr>
          <w:p w:rsidR="00FC54F6" w:rsidRDefault="00FC54F6" w:rsidP="00FC54F6">
            <w:r>
              <w:t>С. 17</w:t>
            </w:r>
          </w:p>
        </w:tc>
      </w:tr>
      <w:tr w:rsidR="00FC54F6" w:rsidTr="00605689">
        <w:trPr>
          <w:cantSplit/>
        </w:trPr>
        <w:tc>
          <w:tcPr>
            <w:tcW w:w="426" w:type="dxa"/>
          </w:tcPr>
          <w:p w:rsidR="00FC54F6" w:rsidRDefault="00FC54F6" w:rsidP="00AB0136"/>
        </w:tc>
        <w:tc>
          <w:tcPr>
            <w:tcW w:w="8490" w:type="dxa"/>
          </w:tcPr>
          <w:p w:rsidR="006A18D5" w:rsidRDefault="006A18D5" w:rsidP="006A18D5">
            <w:pPr>
              <w:pStyle w:val="2"/>
            </w:pPr>
            <w:r>
              <w:t>Средства для гигиенической обработки рук медицинского персонала. Что выбрать?</w:t>
            </w:r>
          </w:p>
          <w:p w:rsidR="006A18D5" w:rsidRDefault="006A18D5" w:rsidP="006A18D5">
            <w:r>
              <w:t>Л.В. Рубис</w:t>
            </w:r>
            <w:r w:rsidRPr="006A18D5">
              <w:rPr>
                <w:vertAlign w:val="superscript"/>
              </w:rPr>
              <w:t>1,2</w:t>
            </w:r>
          </w:p>
          <w:p w:rsidR="006A18D5" w:rsidRDefault="006A18D5" w:rsidP="006A18D5">
            <w:pPr>
              <w:pStyle w:val="3"/>
            </w:pPr>
            <w:r w:rsidRPr="006A18D5">
              <w:rPr>
                <w:vertAlign w:val="superscript"/>
              </w:rPr>
              <w:t>1</w:t>
            </w:r>
            <w:r>
              <w:t>ФГБОУ ВО Петрозаводский государственный университет: 185910, Республика Карелия, Петрозаводск, пр. Ленина, д. 33;</w:t>
            </w:r>
          </w:p>
          <w:p w:rsidR="006A18D5" w:rsidRDefault="006A18D5" w:rsidP="006A18D5">
            <w:pPr>
              <w:pStyle w:val="3"/>
            </w:pPr>
            <w:r w:rsidRPr="006A18D5">
              <w:rPr>
                <w:vertAlign w:val="superscript"/>
              </w:rPr>
              <w:t>2</w:t>
            </w:r>
            <w:r>
              <w:t xml:space="preserve">ГБУЗ «Городская поликлиника № 4»: 185034, Республика Карелия, Петрозаводск, ул. </w:t>
            </w:r>
            <w:proofErr w:type="spellStart"/>
            <w:r>
              <w:t>Нойбранденбургская</w:t>
            </w:r>
            <w:proofErr w:type="spellEnd"/>
            <w:r>
              <w:t>, д. 1</w:t>
            </w:r>
          </w:p>
          <w:p w:rsidR="006A18D5" w:rsidRDefault="006A18D5" w:rsidP="006A18D5">
            <w:pPr>
              <w:pStyle w:val="a4"/>
            </w:pPr>
            <w:r>
              <w:t>Гигиеническая обработка рук – один из важнейших факторов предупреждения распространения возбудителей инфекционных болезней в медицинских организациях. Видовой состав микрофлоры зависит от профиля организации и определяет целесообразность дифференцированного подхода к выбору средств с учётом чувствительности микроорганизмов к входящим в их состав действующим веществам. Необходимость частого применения кожных антисептиков требует уверенности в их безопасности и безвредности для персонала. В статье представлены результаты проведённого автором анкетирования работников поликлиники по вопросам гигиенической обработки рук, а также обобщённые данные литературы о рекомендациях к процедуре её выполнения, антимикробной активности действующих веществ, входящих в состав кожных антисептиков и мыла, их токсичности и воздействии на кожу.</w:t>
            </w:r>
          </w:p>
          <w:p w:rsidR="00FC54F6" w:rsidRDefault="006A18D5" w:rsidP="006A18D5">
            <w:pPr>
              <w:pStyle w:val="a4"/>
            </w:pPr>
            <w:r w:rsidRPr="006A18D5">
              <w:rPr>
                <w:b/>
              </w:rPr>
              <w:t>Ключевые слова:</w:t>
            </w:r>
            <w:r>
              <w:t xml:space="preserve"> гигиеническая обработка рук, кожные антисептики, средства для мытья рук.</w:t>
            </w:r>
          </w:p>
        </w:tc>
        <w:tc>
          <w:tcPr>
            <w:tcW w:w="688" w:type="dxa"/>
          </w:tcPr>
          <w:p w:rsidR="00FC54F6" w:rsidRDefault="00FC54F6" w:rsidP="00FC54F6">
            <w:r>
              <w:t>С.</w:t>
            </w:r>
            <w:r w:rsidR="006A18D5">
              <w:t xml:space="preserve"> 26</w:t>
            </w:r>
          </w:p>
        </w:tc>
      </w:tr>
      <w:tr w:rsidR="00CF790F" w:rsidTr="00B4112B">
        <w:trPr>
          <w:cantSplit/>
        </w:trPr>
        <w:tc>
          <w:tcPr>
            <w:tcW w:w="8916" w:type="dxa"/>
            <w:gridSpan w:val="2"/>
          </w:tcPr>
          <w:p w:rsidR="00CF790F" w:rsidRPr="00CF790F" w:rsidRDefault="00CF790F" w:rsidP="00AA751C">
            <w:pPr>
              <w:pStyle w:val="1"/>
              <w:rPr>
                <w:rFonts w:ascii="Times New Roman" w:hAnsi="Times New Roman" w:cs="Times New Roman"/>
              </w:rPr>
            </w:pPr>
            <w:r w:rsidRPr="00CF790F">
              <w:rPr>
                <w:rFonts w:ascii="Times New Roman" w:hAnsi="Times New Roman" w:cs="Times New Roman"/>
              </w:rPr>
              <w:t>ДЕЗИНСЕКЦИЯ</w:t>
            </w:r>
          </w:p>
        </w:tc>
        <w:tc>
          <w:tcPr>
            <w:tcW w:w="688" w:type="dxa"/>
          </w:tcPr>
          <w:p w:rsidR="00CF790F" w:rsidRDefault="00CF790F" w:rsidP="001E55D7"/>
        </w:tc>
      </w:tr>
      <w:tr w:rsidR="00FC54F6" w:rsidTr="00605689">
        <w:trPr>
          <w:cantSplit/>
        </w:trPr>
        <w:tc>
          <w:tcPr>
            <w:tcW w:w="426" w:type="dxa"/>
          </w:tcPr>
          <w:p w:rsidR="00FC54F6" w:rsidRDefault="00FC54F6" w:rsidP="00AB0136"/>
        </w:tc>
        <w:tc>
          <w:tcPr>
            <w:tcW w:w="8490" w:type="dxa"/>
          </w:tcPr>
          <w:p w:rsidR="006A18D5" w:rsidRDefault="006A18D5" w:rsidP="006A18D5">
            <w:pPr>
              <w:pStyle w:val="2"/>
            </w:pPr>
            <w:r>
              <w:t>Обоснование количественных соотношений действующих веществ при создании двухкомпонентных инсектицидных средств для преодоления резистентности насекомых</w:t>
            </w:r>
          </w:p>
          <w:p w:rsidR="006A18D5" w:rsidRDefault="006A18D5" w:rsidP="006A18D5">
            <w:r>
              <w:t>О.Ю. Ерёмина, В.В. </w:t>
            </w:r>
            <w:proofErr w:type="spellStart"/>
            <w:r>
              <w:t>Олифер</w:t>
            </w:r>
            <w:proofErr w:type="spellEnd"/>
          </w:p>
          <w:p w:rsidR="006A18D5" w:rsidRDefault="006A18D5" w:rsidP="006A18D5">
            <w:pPr>
              <w:pStyle w:val="3"/>
            </w:pPr>
            <w:r>
              <w:t xml:space="preserve">Федеральное бюджетное учреждение науки «Научно-исследовательский институт </w:t>
            </w:r>
            <w:proofErr w:type="spellStart"/>
            <w:r>
              <w:t>дезинфектологии</w:t>
            </w:r>
            <w:proofErr w:type="spellEnd"/>
            <w:r>
              <w:t xml:space="preserve">» </w:t>
            </w:r>
            <w:proofErr w:type="spellStart"/>
            <w:r>
              <w:t>Роспотребнадзора</w:t>
            </w:r>
            <w:proofErr w:type="spellEnd"/>
            <w:r>
              <w:t>: 117246, Москва, Научный проезд, д. 18.</w:t>
            </w:r>
          </w:p>
          <w:p w:rsidR="006A18D5" w:rsidRDefault="006A18D5" w:rsidP="006A18D5">
            <w:pPr>
              <w:pStyle w:val="a4"/>
            </w:pPr>
            <w:r>
              <w:t xml:space="preserve">Проведен анализ Единого реестра свидетельств о государственной регистрации Евразийской Экономической Комиссии по двухкомпонентным смесевым инсектицидным средствам. Изучено действие смесей – </w:t>
            </w:r>
            <w:proofErr w:type="spellStart"/>
            <w:r>
              <w:t>пиретроидов</w:t>
            </w:r>
            <w:proofErr w:type="spellEnd"/>
            <w:r>
              <w:t xml:space="preserve"> (</w:t>
            </w:r>
            <w:proofErr w:type="spellStart"/>
            <w:r>
              <w:t>циперметрина</w:t>
            </w:r>
            <w:proofErr w:type="spellEnd"/>
            <w:r>
              <w:t xml:space="preserve">, </w:t>
            </w:r>
            <w:proofErr w:type="spellStart"/>
            <w:r>
              <w:t>альфациперметрина</w:t>
            </w:r>
            <w:proofErr w:type="spellEnd"/>
            <w:r>
              <w:t>, лямбда-</w:t>
            </w:r>
            <w:proofErr w:type="spellStart"/>
            <w:r>
              <w:t>цигалотрина</w:t>
            </w:r>
            <w:proofErr w:type="spellEnd"/>
            <w:r>
              <w:t>) с </w:t>
            </w:r>
            <w:proofErr w:type="spellStart"/>
            <w:r>
              <w:t>тиаметоксамом</w:t>
            </w:r>
            <w:proofErr w:type="spellEnd"/>
            <w:r>
              <w:t xml:space="preserve">, </w:t>
            </w:r>
            <w:proofErr w:type="spellStart"/>
            <w:r>
              <w:t>хлорфенапиром</w:t>
            </w:r>
            <w:proofErr w:type="spellEnd"/>
            <w:r>
              <w:t xml:space="preserve"> и </w:t>
            </w:r>
            <w:proofErr w:type="spellStart"/>
            <w:r>
              <w:t>хлорпирифосом</w:t>
            </w:r>
            <w:proofErr w:type="spellEnd"/>
            <w:r>
              <w:t xml:space="preserve"> в разных соотношениях в отношении рыжих тараканов чувствительной расы S-НИИД и </w:t>
            </w:r>
            <w:proofErr w:type="spellStart"/>
            <w:r>
              <w:t>мультирезистентной</w:t>
            </w:r>
            <w:proofErr w:type="spellEnd"/>
            <w:r>
              <w:t xml:space="preserve"> расы ОБН. Показано, что на чувствительную расу тараканов действует только высоко инсектицидный </w:t>
            </w:r>
            <w:proofErr w:type="spellStart"/>
            <w:r>
              <w:t>пиретроид</w:t>
            </w:r>
            <w:proofErr w:type="spellEnd"/>
            <w:r>
              <w:t>, а на резистентную – только второй компонент смесей (</w:t>
            </w:r>
            <w:proofErr w:type="spellStart"/>
            <w:r>
              <w:t>тиаметоксам</w:t>
            </w:r>
            <w:proofErr w:type="spellEnd"/>
            <w:r>
              <w:t xml:space="preserve"> или </w:t>
            </w:r>
            <w:proofErr w:type="spellStart"/>
            <w:r>
              <w:t>хлорфенапир</w:t>
            </w:r>
            <w:proofErr w:type="spellEnd"/>
            <w:r>
              <w:t xml:space="preserve">). В смесях с соотношениями </w:t>
            </w:r>
            <w:proofErr w:type="spellStart"/>
            <w:r>
              <w:t>циперметрин</w:t>
            </w:r>
            <w:proofErr w:type="spellEnd"/>
            <w:r>
              <w:t xml:space="preserve"> : </w:t>
            </w:r>
            <w:proofErr w:type="spellStart"/>
            <w:r>
              <w:t>хлорпирифос</w:t>
            </w:r>
            <w:proofErr w:type="spellEnd"/>
            <w:r>
              <w:t xml:space="preserve"> 4 : 1 и 1 : 1 на чувствительную расу тараканов действует только </w:t>
            </w:r>
            <w:proofErr w:type="spellStart"/>
            <w:r>
              <w:t>циперметрин</w:t>
            </w:r>
            <w:proofErr w:type="spellEnd"/>
            <w:r>
              <w:t xml:space="preserve">, на </w:t>
            </w:r>
            <w:proofErr w:type="spellStart"/>
            <w:r>
              <w:t>резезистентную</w:t>
            </w:r>
            <w:proofErr w:type="spellEnd"/>
            <w:r>
              <w:t xml:space="preserve"> – только </w:t>
            </w:r>
            <w:proofErr w:type="spellStart"/>
            <w:r>
              <w:t>хлорпирифос</w:t>
            </w:r>
            <w:proofErr w:type="spellEnd"/>
            <w:r>
              <w:t xml:space="preserve">; однако при соотношении 1 : 10 – на чувствительную расу действуют оба компонента, на резистентную только </w:t>
            </w:r>
            <w:proofErr w:type="spellStart"/>
            <w:r>
              <w:t>хлорпирифос</w:t>
            </w:r>
            <w:proofErr w:type="spellEnd"/>
            <w:r>
              <w:t>. Дано теоретическое обоснование принципов конструирования составов двухкомпонентных смесевых инсектицидов.</w:t>
            </w:r>
          </w:p>
          <w:p w:rsidR="00FC54F6" w:rsidRDefault="006A18D5" w:rsidP="006A18D5">
            <w:pPr>
              <w:pStyle w:val="a4"/>
            </w:pPr>
            <w:r w:rsidRPr="006A18D5">
              <w:rPr>
                <w:b/>
              </w:rPr>
              <w:t xml:space="preserve">Ключевые слова: </w:t>
            </w:r>
            <w:r>
              <w:t>двухкомпонентные смеси, рыжий таракан, резистентность.</w:t>
            </w:r>
          </w:p>
        </w:tc>
        <w:tc>
          <w:tcPr>
            <w:tcW w:w="688" w:type="dxa"/>
          </w:tcPr>
          <w:p w:rsidR="00FC54F6" w:rsidRDefault="00FC54F6" w:rsidP="002D597F">
            <w:r>
              <w:t>С.</w:t>
            </w:r>
            <w:r w:rsidR="006A18D5">
              <w:t xml:space="preserve"> 34</w:t>
            </w:r>
          </w:p>
        </w:tc>
      </w:tr>
      <w:tr w:rsidR="00FC54F6" w:rsidTr="00605689">
        <w:trPr>
          <w:cantSplit/>
        </w:trPr>
        <w:tc>
          <w:tcPr>
            <w:tcW w:w="426" w:type="dxa"/>
          </w:tcPr>
          <w:p w:rsidR="00FC54F6" w:rsidRDefault="00FC54F6" w:rsidP="00AB0136"/>
        </w:tc>
        <w:tc>
          <w:tcPr>
            <w:tcW w:w="8490" w:type="dxa"/>
          </w:tcPr>
          <w:p w:rsidR="006A18D5" w:rsidRDefault="006A18D5" w:rsidP="006A18D5">
            <w:pPr>
              <w:pStyle w:val="2"/>
            </w:pPr>
            <w:r>
              <w:t xml:space="preserve">Характеристика эффективности и токсичности современных </w:t>
            </w:r>
            <w:proofErr w:type="spellStart"/>
            <w:r>
              <w:t>инсектоакарицидов</w:t>
            </w:r>
            <w:proofErr w:type="spellEnd"/>
            <w:r>
              <w:t>, ларвицидов, регуляторов развития насекомых и репеллентов. Часть 4. Регуляторы развития насекомых, микробиологические препараты, репелленты</w:t>
            </w:r>
          </w:p>
          <w:p w:rsidR="006A18D5" w:rsidRDefault="006A18D5" w:rsidP="006A18D5">
            <w:r>
              <w:t>С.А. </w:t>
            </w:r>
            <w:proofErr w:type="spellStart"/>
            <w:r>
              <w:t>Рославцева</w:t>
            </w:r>
            <w:proofErr w:type="spellEnd"/>
            <w:r>
              <w:t>, М.В. </w:t>
            </w:r>
            <w:proofErr w:type="spellStart"/>
            <w:r>
              <w:t>Бидёвкина</w:t>
            </w:r>
            <w:proofErr w:type="spellEnd"/>
          </w:p>
          <w:p w:rsidR="006A18D5" w:rsidRDefault="006A18D5" w:rsidP="006A18D5">
            <w:pPr>
              <w:pStyle w:val="3"/>
            </w:pPr>
            <w:r>
              <w:t xml:space="preserve">Федеральное бюджетное учреждение науки «Научно-исследовательский институт </w:t>
            </w:r>
            <w:proofErr w:type="spellStart"/>
            <w:r>
              <w:t>дезинфектологии</w:t>
            </w:r>
            <w:proofErr w:type="spellEnd"/>
            <w:r>
              <w:t xml:space="preserve">» </w:t>
            </w:r>
            <w:proofErr w:type="spellStart"/>
            <w:r>
              <w:t>Роспотребнадзора</w:t>
            </w:r>
            <w:proofErr w:type="spellEnd"/>
            <w:r>
              <w:t>: 117246, Москва, Научный проезд, д. 18.</w:t>
            </w:r>
          </w:p>
          <w:p w:rsidR="006A18D5" w:rsidRDefault="006A18D5" w:rsidP="006A18D5">
            <w:pPr>
              <w:pStyle w:val="a4"/>
            </w:pPr>
            <w:r>
              <w:t>Описаны регуляторы развития насекомых (РРН), представленные аналогами ювенильного гормона (</w:t>
            </w:r>
            <w:proofErr w:type="spellStart"/>
            <w:r>
              <w:t>метопрен</w:t>
            </w:r>
            <w:proofErr w:type="spellEnd"/>
            <w:r>
              <w:t xml:space="preserve">, </w:t>
            </w:r>
            <w:proofErr w:type="spellStart"/>
            <w:r>
              <w:t>гидропрен</w:t>
            </w:r>
            <w:proofErr w:type="spellEnd"/>
            <w:r>
              <w:t xml:space="preserve"> и </w:t>
            </w:r>
            <w:proofErr w:type="spellStart"/>
            <w:r>
              <w:t>пирипроксифен</w:t>
            </w:r>
            <w:proofErr w:type="spellEnd"/>
            <w:r>
              <w:t>) и ингибиторами синтеза хитина – производными мочевины (</w:t>
            </w:r>
            <w:proofErr w:type="spellStart"/>
            <w:r>
              <w:t>дифлубензурон</w:t>
            </w:r>
            <w:proofErr w:type="spellEnd"/>
            <w:r>
              <w:t xml:space="preserve">, </w:t>
            </w:r>
            <w:proofErr w:type="spellStart"/>
            <w:r>
              <w:t>трифлумурон</w:t>
            </w:r>
            <w:proofErr w:type="spellEnd"/>
            <w:r>
              <w:t xml:space="preserve"> и другие). Описаны также микробиологические препараты, действующим веществом которых является дельта-эндотоксин бактерии </w:t>
            </w:r>
            <w:proofErr w:type="spellStart"/>
            <w:r>
              <w:t>Bacillus</w:t>
            </w:r>
            <w:proofErr w:type="spellEnd"/>
            <w:r>
              <w:t xml:space="preserve"> </w:t>
            </w:r>
            <w:proofErr w:type="spellStart"/>
            <w:r>
              <w:t>thuringitnsis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. </w:t>
            </w:r>
            <w:proofErr w:type="spellStart"/>
            <w:r>
              <w:t>israilensis</w:t>
            </w:r>
            <w:proofErr w:type="spellEnd"/>
            <w:r>
              <w:t xml:space="preserve"> (</w:t>
            </w:r>
            <w:proofErr w:type="spellStart"/>
            <w:r>
              <w:t>Бактицид</w:t>
            </w:r>
            <w:proofErr w:type="spellEnd"/>
            <w:r>
              <w:t xml:space="preserve">, </w:t>
            </w:r>
            <w:proofErr w:type="spellStart"/>
            <w:r>
              <w:t>Бактицид</w:t>
            </w:r>
            <w:proofErr w:type="spellEnd"/>
            <w:r>
              <w:t xml:space="preserve"> СК, </w:t>
            </w:r>
            <w:proofErr w:type="spellStart"/>
            <w:r>
              <w:t>Ларвиоль</w:t>
            </w:r>
            <w:proofErr w:type="spellEnd"/>
            <w:r>
              <w:t>-паста). Приведены структурные формулы, энтомо-</w:t>
            </w:r>
            <w:proofErr w:type="spellStart"/>
            <w:r>
              <w:t>акарологические</w:t>
            </w:r>
            <w:proofErr w:type="spellEnd"/>
            <w:r>
              <w:t>, токсикологические характеристики репеллентов природного происхождения (эфирные масла) и синтетических (</w:t>
            </w:r>
            <w:proofErr w:type="spellStart"/>
            <w:r>
              <w:t>диметилфталат</w:t>
            </w:r>
            <w:proofErr w:type="spellEnd"/>
            <w:r>
              <w:t xml:space="preserve">, ДЭТА, </w:t>
            </w:r>
            <w:proofErr w:type="spellStart"/>
            <w:r>
              <w:t>Салтидин</w:t>
            </w:r>
            <w:proofErr w:type="spellEnd"/>
            <w:r>
              <w:t xml:space="preserve">, IR3535, </w:t>
            </w:r>
            <w:proofErr w:type="spellStart"/>
            <w:r>
              <w:t>Акреп</w:t>
            </w:r>
            <w:proofErr w:type="spellEnd"/>
            <w:r>
              <w:t>).</w:t>
            </w:r>
          </w:p>
          <w:p w:rsidR="00FC54F6" w:rsidRDefault="006A18D5" w:rsidP="006A18D5">
            <w:pPr>
              <w:pStyle w:val="a4"/>
            </w:pPr>
            <w:r w:rsidRPr="006A18D5">
              <w:rPr>
                <w:b/>
              </w:rPr>
              <w:t xml:space="preserve">Ключевые слова: </w:t>
            </w:r>
            <w:r>
              <w:t xml:space="preserve">регуляторы развития насекомых (РРН), </w:t>
            </w:r>
            <w:proofErr w:type="spellStart"/>
            <w:r>
              <w:t>ювеноиды</w:t>
            </w:r>
            <w:proofErr w:type="spellEnd"/>
            <w:r>
              <w:t>, ингибиторы синтеза хитина, микробиологические препараты, репелленты природного происхождения (эфирные масла) и синтетические (</w:t>
            </w:r>
            <w:proofErr w:type="spellStart"/>
            <w:r>
              <w:t>диметилфталат</w:t>
            </w:r>
            <w:proofErr w:type="spellEnd"/>
            <w:r>
              <w:t xml:space="preserve">, ДЭТА, </w:t>
            </w:r>
            <w:proofErr w:type="spellStart"/>
            <w:r>
              <w:t>Салтидин</w:t>
            </w:r>
            <w:proofErr w:type="spellEnd"/>
            <w:r>
              <w:t xml:space="preserve">, IR3535, </w:t>
            </w:r>
            <w:proofErr w:type="spellStart"/>
            <w:r>
              <w:t>Акреп</w:t>
            </w:r>
            <w:proofErr w:type="spellEnd"/>
            <w:r>
              <w:t>), токсичность.</w:t>
            </w:r>
          </w:p>
        </w:tc>
        <w:tc>
          <w:tcPr>
            <w:tcW w:w="688" w:type="dxa"/>
          </w:tcPr>
          <w:p w:rsidR="00FC54F6" w:rsidRDefault="00FC54F6" w:rsidP="002D597F">
            <w:r>
              <w:t>С.</w:t>
            </w:r>
            <w:r w:rsidR="006A18D5">
              <w:t xml:space="preserve"> 43</w:t>
            </w:r>
          </w:p>
        </w:tc>
      </w:tr>
      <w:tr w:rsidR="00CF790F" w:rsidTr="009C6831">
        <w:trPr>
          <w:cantSplit/>
        </w:trPr>
        <w:tc>
          <w:tcPr>
            <w:tcW w:w="8916" w:type="dxa"/>
            <w:gridSpan w:val="2"/>
          </w:tcPr>
          <w:p w:rsidR="00CF790F" w:rsidRPr="00446450" w:rsidRDefault="00CF790F" w:rsidP="00AF0E99">
            <w:pPr>
              <w:pStyle w:val="1"/>
            </w:pPr>
            <w:r>
              <w:rPr>
                <w:rFonts w:ascii="Times New Roman" w:hAnsi="Times New Roman" w:cs="Times New Roman"/>
              </w:rPr>
              <w:lastRenderedPageBreak/>
              <w:t>ДЕРАТИЗАЦИЯ</w:t>
            </w:r>
          </w:p>
        </w:tc>
        <w:tc>
          <w:tcPr>
            <w:tcW w:w="688" w:type="dxa"/>
          </w:tcPr>
          <w:p w:rsidR="00CF790F" w:rsidRDefault="00CF790F" w:rsidP="00BA0C7D"/>
        </w:tc>
      </w:tr>
      <w:tr w:rsidR="00FC54F6" w:rsidTr="00605689">
        <w:trPr>
          <w:cantSplit/>
        </w:trPr>
        <w:tc>
          <w:tcPr>
            <w:tcW w:w="426" w:type="dxa"/>
          </w:tcPr>
          <w:p w:rsidR="00FC54F6" w:rsidRDefault="00FC54F6" w:rsidP="00AB0136"/>
        </w:tc>
        <w:tc>
          <w:tcPr>
            <w:tcW w:w="8490" w:type="dxa"/>
          </w:tcPr>
          <w:p w:rsidR="006A18D5" w:rsidRDefault="006A18D5" w:rsidP="006A18D5">
            <w:pPr>
              <w:pStyle w:val="2"/>
            </w:pPr>
            <w:r>
              <w:t>Апробация устройств для дезинсекции нор мелких млекопитающих в Горно-Алтайском высокогорном природном очаге чумы</w:t>
            </w:r>
          </w:p>
          <w:p w:rsidR="006A18D5" w:rsidRDefault="006A18D5" w:rsidP="006A18D5">
            <w:r>
              <w:t>Н.М. Ермаков, А.Н. Матросов</w:t>
            </w:r>
          </w:p>
          <w:p w:rsidR="006A18D5" w:rsidRDefault="006A18D5" w:rsidP="006A18D5">
            <w:pPr>
              <w:pStyle w:val="3"/>
            </w:pPr>
            <w:r>
              <w:t xml:space="preserve">Российский научно-исследовательский противочумный институт «Микроб» </w:t>
            </w:r>
            <w:proofErr w:type="spellStart"/>
            <w:r>
              <w:t>Роспотребнадзора</w:t>
            </w:r>
            <w:proofErr w:type="spellEnd"/>
            <w:r>
              <w:t>: 410005, Саратов, ул. Университетская, д. 46.</w:t>
            </w:r>
          </w:p>
          <w:p w:rsidR="006A18D5" w:rsidRDefault="006A18D5" w:rsidP="006A18D5">
            <w:pPr>
              <w:pStyle w:val="a4"/>
            </w:pPr>
            <w:r>
              <w:t xml:space="preserve">В комплексе неспецифической профилактики чумы дезинсекция остаётся одним из наиболее радикальных методов подавления (ликвидации) эпизоотий и снижения риска заболеваний населения. В 2014–2016 гг. на территории Горно-Алтайского высокогорного природного очага регистрировали спорадические заболевания людей бубонной формой чумы. При проведении инсектицидных обработок в поселениях серого сурка, длиннохвостого суслика и монгольской пищухи осуществляли апробацию современных инсектицидных средств: механических </w:t>
            </w:r>
            <w:proofErr w:type="spellStart"/>
            <w:r>
              <w:t>дустеров</w:t>
            </w:r>
            <w:proofErr w:type="spellEnd"/>
            <w:r>
              <w:t xml:space="preserve"> и моторных опыливателей, </w:t>
            </w:r>
            <w:proofErr w:type="spellStart"/>
            <w:r>
              <w:t>пиретроидных</w:t>
            </w:r>
            <w:proofErr w:type="spellEnd"/>
            <w:r>
              <w:t xml:space="preserve"> и смесевых препаратов инсектицидов. Высокая противоэпизоотическая и противоэпидемическая эффективность их применения позволили сократить площади и интенсивность эпизоотий чумы, предотвратить </w:t>
            </w:r>
            <w:proofErr w:type="spellStart"/>
            <w:r>
              <w:t>антропогеннное</w:t>
            </w:r>
            <w:proofErr w:type="spellEnd"/>
            <w:r>
              <w:t xml:space="preserve"> распространений этой опасной инфекции.</w:t>
            </w:r>
          </w:p>
          <w:p w:rsidR="00FC54F6" w:rsidRDefault="006A18D5" w:rsidP="006A18D5">
            <w:pPr>
              <w:pStyle w:val="a4"/>
            </w:pPr>
            <w:r w:rsidRPr="006A18D5">
              <w:rPr>
                <w:b/>
              </w:rPr>
              <w:t>Ключевые слова:</w:t>
            </w:r>
            <w:r>
              <w:t xml:space="preserve"> дезинсекция, блохи – переносчики чумного микроба, эпизоотии чумы, инсектициды, эффективность дезинсекции.</w:t>
            </w:r>
          </w:p>
        </w:tc>
        <w:tc>
          <w:tcPr>
            <w:tcW w:w="688" w:type="dxa"/>
          </w:tcPr>
          <w:p w:rsidR="00FC54F6" w:rsidRDefault="00FC54F6" w:rsidP="00CF790F">
            <w:r>
              <w:t>С.</w:t>
            </w:r>
            <w:r w:rsidR="006A18D5">
              <w:t xml:space="preserve"> 56</w:t>
            </w:r>
          </w:p>
        </w:tc>
      </w:tr>
      <w:tr w:rsidR="00FC54F6" w:rsidTr="00605689">
        <w:trPr>
          <w:cantSplit/>
        </w:trPr>
        <w:tc>
          <w:tcPr>
            <w:tcW w:w="426" w:type="dxa"/>
          </w:tcPr>
          <w:p w:rsidR="00FC54F6" w:rsidRDefault="00FC54F6" w:rsidP="00AB0136"/>
        </w:tc>
        <w:tc>
          <w:tcPr>
            <w:tcW w:w="8490" w:type="dxa"/>
          </w:tcPr>
          <w:p w:rsidR="006A18D5" w:rsidRDefault="006A18D5" w:rsidP="006A18D5">
            <w:pPr>
              <w:pStyle w:val="2"/>
            </w:pPr>
            <w:r>
              <w:t>Природные очаги туляремии Сахалинской области</w:t>
            </w:r>
          </w:p>
          <w:p w:rsidR="006A18D5" w:rsidRDefault="006A18D5" w:rsidP="006A18D5">
            <w:r>
              <w:t>В.П. Попов</w:t>
            </w:r>
            <w:r w:rsidRPr="006A18D5">
              <w:rPr>
                <w:vertAlign w:val="superscript"/>
              </w:rPr>
              <w:t>1</w:t>
            </w:r>
            <w:r>
              <w:t>, Н.А. Малицкая</w:t>
            </w:r>
            <w:r w:rsidRPr="006A18D5">
              <w:rPr>
                <w:vertAlign w:val="superscript"/>
              </w:rPr>
              <w:t>2</w:t>
            </w:r>
            <w:r>
              <w:t>, С.В. Рябов</w:t>
            </w:r>
            <w:r w:rsidRPr="006A18D5">
              <w:rPr>
                <w:vertAlign w:val="superscript"/>
              </w:rPr>
              <w:t>3</w:t>
            </w:r>
          </w:p>
          <w:p w:rsidR="006A18D5" w:rsidRDefault="006A18D5" w:rsidP="006A18D5">
            <w:pPr>
              <w:pStyle w:val="3"/>
            </w:pPr>
            <w:r w:rsidRPr="006A18D5">
              <w:rPr>
                <w:vertAlign w:val="superscript"/>
              </w:rPr>
              <w:t>1</w:t>
            </w:r>
            <w:r>
              <w:t xml:space="preserve">ФКУЗ «Противочумный центр» </w:t>
            </w:r>
            <w:proofErr w:type="spellStart"/>
            <w:r>
              <w:t>Роспотребнадзора</w:t>
            </w:r>
            <w:proofErr w:type="spellEnd"/>
            <w:r>
              <w:t>: 127490, Москва, ул. Мусоргского, д. 4;</w:t>
            </w:r>
          </w:p>
          <w:p w:rsidR="006A18D5" w:rsidRDefault="006A18D5" w:rsidP="006A18D5">
            <w:pPr>
              <w:pStyle w:val="3"/>
            </w:pPr>
            <w:r w:rsidRPr="006A18D5">
              <w:rPr>
                <w:vertAlign w:val="superscript"/>
              </w:rPr>
              <w:t>2</w:t>
            </w:r>
            <w:r>
              <w:t>ФБУЗ «Центр гигиены и </w:t>
            </w:r>
            <w:proofErr w:type="spellStart"/>
            <w:r>
              <w:t>эпидемиогии</w:t>
            </w:r>
            <w:proofErr w:type="spellEnd"/>
            <w:r>
              <w:t xml:space="preserve"> в Сахалинской области» </w:t>
            </w:r>
            <w:proofErr w:type="spellStart"/>
            <w:r>
              <w:t>Роспотребнадзора</w:t>
            </w:r>
            <w:proofErr w:type="spellEnd"/>
            <w:r>
              <w:t>: 693020, Южно-Сахалинск, ул. Чехова, д. 3-а;</w:t>
            </w:r>
          </w:p>
          <w:p w:rsidR="006A18D5" w:rsidRDefault="006A18D5" w:rsidP="006A18D5">
            <w:pPr>
              <w:pStyle w:val="3"/>
            </w:pPr>
            <w:r w:rsidRPr="006A18D5">
              <w:rPr>
                <w:vertAlign w:val="superscript"/>
              </w:rPr>
              <w:t>3</w:t>
            </w:r>
            <w:r>
              <w:t xml:space="preserve">ФБУН «НИИ </w:t>
            </w:r>
            <w:proofErr w:type="spellStart"/>
            <w:r>
              <w:t>дезинфектологии</w:t>
            </w:r>
            <w:proofErr w:type="spellEnd"/>
            <w:r>
              <w:t xml:space="preserve">» </w:t>
            </w:r>
            <w:proofErr w:type="spellStart"/>
            <w:r>
              <w:t>Роспотребнадзора</w:t>
            </w:r>
            <w:proofErr w:type="spellEnd"/>
            <w:r>
              <w:t>: 117246, Москва, Научный проезд, д. 18.</w:t>
            </w:r>
          </w:p>
          <w:p w:rsidR="006A18D5" w:rsidRDefault="006A18D5" w:rsidP="006A18D5">
            <w:pPr>
              <w:pStyle w:val="a4"/>
            </w:pPr>
            <w:r>
              <w:t xml:space="preserve">В обзорной статье проанализированы эпизоотическая и эпидемическая активность природных очагов туляремии за более чем 50-ти летний период наблюдения. В работе использованы архивные материалы ФБУЗ «Центр гигиены и эпидемиологии в Сахалинской области», Южно-Сахалинского противочумного отделения ФКУЗ «Хабаровская противочумная станция» и ФКУЗ «Противочумный центр» </w:t>
            </w:r>
            <w:proofErr w:type="spellStart"/>
            <w:r>
              <w:t>Роспотребнадзора</w:t>
            </w:r>
            <w:proofErr w:type="spellEnd"/>
            <w:r>
              <w:t>.</w:t>
            </w:r>
          </w:p>
          <w:p w:rsidR="00FC54F6" w:rsidRDefault="006A18D5" w:rsidP="006A18D5">
            <w:pPr>
              <w:pStyle w:val="a4"/>
            </w:pPr>
            <w:r w:rsidRPr="006A18D5">
              <w:rPr>
                <w:b/>
              </w:rPr>
              <w:t xml:space="preserve">Ключевые слова: </w:t>
            </w:r>
            <w:r>
              <w:t>природные очаги туляремии, основные носители возбудителя туляремии, эпизоотическая и эпидемиологическая активность очагов.</w:t>
            </w:r>
          </w:p>
        </w:tc>
        <w:tc>
          <w:tcPr>
            <w:tcW w:w="688" w:type="dxa"/>
          </w:tcPr>
          <w:p w:rsidR="00FC54F6" w:rsidRDefault="00FC54F6" w:rsidP="00CF790F">
            <w:r>
              <w:t>С.</w:t>
            </w:r>
            <w:r w:rsidR="006A18D5">
              <w:t xml:space="preserve"> 62</w:t>
            </w:r>
          </w:p>
        </w:tc>
      </w:tr>
      <w:tr w:rsidR="00CF790F" w:rsidTr="00F65425">
        <w:trPr>
          <w:cantSplit/>
        </w:trPr>
        <w:tc>
          <w:tcPr>
            <w:tcW w:w="8916" w:type="dxa"/>
            <w:gridSpan w:val="2"/>
          </w:tcPr>
          <w:p w:rsidR="00CF790F" w:rsidRPr="00CF790F" w:rsidRDefault="00FC54F6" w:rsidP="00A62D9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ЭПИДЕМИОЛОГИЯ</w:t>
            </w:r>
          </w:p>
        </w:tc>
        <w:tc>
          <w:tcPr>
            <w:tcW w:w="688" w:type="dxa"/>
          </w:tcPr>
          <w:p w:rsidR="00CF790F" w:rsidRDefault="00CF790F" w:rsidP="001E55D7"/>
        </w:tc>
      </w:tr>
      <w:tr w:rsidR="00FC54F6" w:rsidTr="00605689">
        <w:trPr>
          <w:cantSplit/>
        </w:trPr>
        <w:tc>
          <w:tcPr>
            <w:tcW w:w="426" w:type="dxa"/>
          </w:tcPr>
          <w:p w:rsidR="00FC54F6" w:rsidRDefault="00FC54F6" w:rsidP="00AB0136"/>
        </w:tc>
        <w:tc>
          <w:tcPr>
            <w:tcW w:w="8490" w:type="dxa"/>
          </w:tcPr>
          <w:p w:rsidR="006A18D5" w:rsidRDefault="006A18D5" w:rsidP="006A18D5">
            <w:pPr>
              <w:pStyle w:val="2"/>
            </w:pPr>
            <w:r>
              <w:t>Клинико-</w:t>
            </w:r>
            <w:proofErr w:type="spellStart"/>
            <w:r>
              <w:t>эпидемиологичексие</w:t>
            </w:r>
            <w:proofErr w:type="spellEnd"/>
            <w:r>
              <w:t xml:space="preserve"> аспекты распространения туберкулёзной инфекции в психиатрических стационарах</w:t>
            </w:r>
          </w:p>
          <w:p w:rsidR="006A18D5" w:rsidRDefault="006A18D5" w:rsidP="006A18D5">
            <w:r>
              <w:t>В.А. </w:t>
            </w:r>
            <w:proofErr w:type="spellStart"/>
            <w:r>
              <w:t>Цуркан</w:t>
            </w:r>
            <w:proofErr w:type="spellEnd"/>
          </w:p>
          <w:p w:rsidR="006A18D5" w:rsidRDefault="006A18D5" w:rsidP="006A18D5">
            <w:pPr>
              <w:pStyle w:val="3"/>
            </w:pPr>
            <w:r>
              <w:t xml:space="preserve">Республиканская психиатрическая больница, </w:t>
            </w:r>
            <w:proofErr w:type="spellStart"/>
            <w:r>
              <w:t>Бэлць</w:t>
            </w:r>
            <w:proofErr w:type="spellEnd"/>
            <w:r>
              <w:t xml:space="preserve">: 3100, Республика Молдова, </w:t>
            </w:r>
            <w:proofErr w:type="spellStart"/>
            <w:r>
              <w:t>мун</w:t>
            </w:r>
            <w:proofErr w:type="spellEnd"/>
            <w:r>
              <w:t xml:space="preserve">. </w:t>
            </w:r>
            <w:proofErr w:type="spellStart"/>
            <w:r>
              <w:t>Бэлць</w:t>
            </w:r>
            <w:proofErr w:type="spellEnd"/>
            <w:r>
              <w:t>, ул. Гагарина, д. 114.</w:t>
            </w:r>
          </w:p>
          <w:p w:rsidR="006A18D5" w:rsidRDefault="006A18D5" w:rsidP="006A18D5">
            <w:pPr>
              <w:pStyle w:val="a4"/>
            </w:pPr>
            <w:r>
              <w:t xml:space="preserve">Установлено, что в 85±3,4 % случаев больные с признаками психического </w:t>
            </w:r>
            <w:proofErr w:type="spellStart"/>
            <w:r>
              <w:t>расcтройства</w:t>
            </w:r>
            <w:proofErr w:type="spellEnd"/>
            <w:r>
              <w:t xml:space="preserve"> поступают на стационарное лечение без каких-либо результатов анализов и исследований. Удельный вес впервые выявленных случаев лёгочного туберкулёза в момент госпитализации составляет только 3,3 %, в первые 3 дня – 28,9 %, на 4–6 день – 43 %, на 7–9 день – 17,4 % и в последующие дни пребывания в больнице – 7,4 % больных. Существует прямая корреляционная связь между кратностью и длительностью пребывания больных в психиатрических больницах (ПБ) и заболевания их туберкулёзом лёгких. При первичном контакте с источником туберкулёзной инфекции риск заболевания туберкулёзом лёгких составляет 1,3–1,4 на 100 больных с психическими расстройствами. При повторном и последующих пребываниях в ПБ, длительностью до 25 дней и более, риск заболевания увеличивается в 3–4 раза. В заключении представлены выводы о комплексном решении проблем, связанных со своевременной диагностикой и проведением противотуберкулёзных мероприятий по недопущению появления и распространения туберкулёзной инфекции в ПБ.</w:t>
            </w:r>
          </w:p>
          <w:p w:rsidR="00FC54F6" w:rsidRPr="00CF790F" w:rsidRDefault="006A18D5" w:rsidP="006A18D5">
            <w:pPr>
              <w:pStyle w:val="a4"/>
            </w:pPr>
            <w:r w:rsidRPr="006A18D5">
              <w:rPr>
                <w:b/>
              </w:rPr>
              <w:t>Ключевые слова:</w:t>
            </w:r>
            <w:r>
              <w:t xml:space="preserve"> психиатрическая больница, туберкулёз лёгких, эпидемический процесс, диагностика туберкулёза, фактор риска, заболеваемость.</w:t>
            </w:r>
          </w:p>
        </w:tc>
        <w:tc>
          <w:tcPr>
            <w:tcW w:w="688" w:type="dxa"/>
          </w:tcPr>
          <w:p w:rsidR="00FC54F6" w:rsidRDefault="00FC54F6" w:rsidP="00CF790F">
            <w:r>
              <w:t>С.</w:t>
            </w:r>
            <w:r w:rsidR="006A18D5">
              <w:t xml:space="preserve"> 69</w:t>
            </w:r>
          </w:p>
        </w:tc>
      </w:tr>
      <w:tr w:rsidR="00FC54F6" w:rsidTr="00605689">
        <w:trPr>
          <w:cantSplit/>
        </w:trPr>
        <w:tc>
          <w:tcPr>
            <w:tcW w:w="426" w:type="dxa"/>
          </w:tcPr>
          <w:p w:rsidR="00FC54F6" w:rsidRDefault="00FC54F6" w:rsidP="00AB0136"/>
        </w:tc>
        <w:tc>
          <w:tcPr>
            <w:tcW w:w="8490" w:type="dxa"/>
          </w:tcPr>
          <w:p w:rsidR="006A18D5" w:rsidRDefault="006A18D5" w:rsidP="006A18D5">
            <w:pPr>
              <w:pStyle w:val="2"/>
            </w:pPr>
            <w:r>
              <w:t>К вопросу оценки санитарно-противоэпидемического режима организации, осуществляющей медицинскую деятельность</w:t>
            </w:r>
          </w:p>
          <w:p w:rsidR="006A18D5" w:rsidRDefault="006A18D5" w:rsidP="006A18D5">
            <w:r>
              <w:t>М.И. Самойлов, А.С. Паньков</w:t>
            </w:r>
          </w:p>
          <w:p w:rsidR="006A18D5" w:rsidRDefault="006A18D5" w:rsidP="006A18D5">
            <w:pPr>
              <w:pStyle w:val="3"/>
            </w:pPr>
            <w:r>
              <w:t xml:space="preserve"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Федерации: 460000, Оренбург, ул. Советская / ул. </w:t>
            </w:r>
            <w:proofErr w:type="spellStart"/>
            <w:r>
              <w:t>М.Горького</w:t>
            </w:r>
            <w:proofErr w:type="spellEnd"/>
            <w:r>
              <w:t xml:space="preserve"> / пер. Дмитриевский, д. 6/45/7.</w:t>
            </w:r>
          </w:p>
          <w:p w:rsidR="006A18D5" w:rsidRDefault="006A18D5" w:rsidP="006A18D5">
            <w:pPr>
              <w:pStyle w:val="a4"/>
            </w:pPr>
            <w:r>
              <w:t xml:space="preserve">Обеспечение инфекционной безопасности медицинской помощи остаётся актуальным [6, 8]. Для предотвращения развития инфекций, связанных с оказанием медицинской помощи (ИМСП) внедрена система организационных, санитарно-профилактических и противоэпидемических мероприятий, объединённых понятием санитарно-противоэпидемический режим. В настоящее время для оценки санитарно-противоэпидемического режима медицинской организации используется критерий качества – требования СанПиН 2.1.3.2630-10 «Санитарно-эпидемиологические требования к организациям, осуществляющим медицинскую деятельность». Однако качество, как субъективное понятие, не всегда обеспечивает надёжность системы. Оценка эффективности санитарно-противоэпидемического режима вызывает наибольшее затруднение в связи с тем, что уровень регистрации ИСМП не совпадает с расчётным. Эксперты считают, что истинное количество ИСМП составляет не менее 2–2,5 млн случаев против 30 тыс., вошедших в отчёты официальной статистики [3]. Микробиологический мониторинг, наряду с информационным обеспечением базы эпидемиологического надзора этиологической структуры ИСМП [7], может выявить уровень циркуляции микрофлоры на объектах больничной среды, в которой свободноживущие микроорганизмы могут представлять опасность как источник возбудителя ИСМП [8]. Следовательно, полученные результаты, возможно использовать как критерий оценки эффективности санитарно-противоэпидемического режима. Был предпринят поиск работ, посвящённых оценке эффективности противоэпидемического режима, основанных на результатах микробиологического мониторинга. Подобной работы по проведённому обзору найти не удалось. В доступной литературе достаточно широко представлены результаты микробиологического мониторинга. Подтверждена ведущая роль грамотрицательных бактерий в развитии бронхолёгочных и гнойно-септических </w:t>
            </w:r>
            <w:proofErr w:type="spellStart"/>
            <w:r>
              <w:t>нозокомиальных</w:t>
            </w:r>
            <w:proofErr w:type="spellEnd"/>
            <w:r>
              <w:t xml:space="preserve"> заболеваний [4]. Определён видовой состав микрофлоры больничной среды отделения реанимации хирургического стационара и представлены характеристики изолированной микрофлоры [5]. Обоснована необходимость оптимизации микробиологического мониторинга, нацеленного на оценку проведённых дезинфекционных и стерилизационных мероприятий [2].  Попытка сопоставить результаты оценки санитарно-противоэпидемического режима на основе критериев качества (выполнения требований инструктивно-методических материалов) и данных видовой идентификации микроорганизмов с объектов окружающей среды, резистентности изолированных штаммов к обеззараживающим средствам как критерия эффективности санитарно-противоэпидемического режима определила цель исследования.</w:t>
            </w:r>
          </w:p>
          <w:p w:rsidR="00FC54F6" w:rsidRPr="00CF790F" w:rsidRDefault="006A18D5" w:rsidP="006A18D5">
            <w:pPr>
              <w:pStyle w:val="a4"/>
            </w:pPr>
            <w:r w:rsidRPr="006A18D5">
              <w:rPr>
                <w:b/>
              </w:rPr>
              <w:t xml:space="preserve">Ключевые слова: </w:t>
            </w:r>
            <w:r>
              <w:t>инфекции, связанные с оказанием медицинской помощи; микробиологический мониторинг; программа производственного контроля; качество и эффективность противоэпидемического режима; госпитальные штаммы.</w:t>
            </w:r>
          </w:p>
        </w:tc>
        <w:tc>
          <w:tcPr>
            <w:tcW w:w="688" w:type="dxa"/>
          </w:tcPr>
          <w:p w:rsidR="00FC54F6" w:rsidRDefault="00FC54F6" w:rsidP="00CF790F">
            <w:r>
              <w:t>С.</w:t>
            </w:r>
            <w:r w:rsidR="006A18D5">
              <w:t xml:space="preserve"> 74</w:t>
            </w:r>
          </w:p>
        </w:tc>
      </w:tr>
      <w:tr w:rsidR="00337E1D" w:rsidTr="005F3486">
        <w:trPr>
          <w:cantSplit/>
        </w:trPr>
        <w:tc>
          <w:tcPr>
            <w:tcW w:w="8916" w:type="dxa"/>
            <w:gridSpan w:val="2"/>
          </w:tcPr>
          <w:p w:rsidR="00337E1D" w:rsidRDefault="00337E1D" w:rsidP="006A18D5">
            <w:pPr>
              <w:pStyle w:val="2"/>
            </w:pPr>
            <w:r>
              <w:rPr>
                <w:rFonts w:ascii="Times New Roman" w:hAnsi="Times New Roman" w:cs="Times New Roman"/>
              </w:rPr>
              <w:t>НЕКРОЛОГ</w:t>
            </w:r>
          </w:p>
        </w:tc>
        <w:tc>
          <w:tcPr>
            <w:tcW w:w="688" w:type="dxa"/>
          </w:tcPr>
          <w:p w:rsidR="00337E1D" w:rsidRDefault="00337E1D" w:rsidP="00CF790F"/>
        </w:tc>
      </w:tr>
      <w:tr w:rsidR="00337E1D" w:rsidTr="00605689">
        <w:trPr>
          <w:cantSplit/>
        </w:trPr>
        <w:tc>
          <w:tcPr>
            <w:tcW w:w="426" w:type="dxa"/>
          </w:tcPr>
          <w:p w:rsidR="00337E1D" w:rsidRDefault="00337E1D" w:rsidP="00AB0136"/>
        </w:tc>
        <w:tc>
          <w:tcPr>
            <w:tcW w:w="8490" w:type="dxa"/>
          </w:tcPr>
          <w:p w:rsidR="00337E1D" w:rsidRDefault="00337E1D" w:rsidP="006A18D5">
            <w:pPr>
              <w:pStyle w:val="2"/>
            </w:pPr>
            <w:bookmarkStart w:id="0" w:name="_GoBack"/>
            <w:r>
              <w:t>Кузьменко В.И. (1949-2020)</w:t>
            </w:r>
            <w:bookmarkEnd w:id="0"/>
          </w:p>
        </w:tc>
        <w:tc>
          <w:tcPr>
            <w:tcW w:w="688" w:type="dxa"/>
          </w:tcPr>
          <w:p w:rsidR="00337E1D" w:rsidRDefault="00337E1D" w:rsidP="00CF790F">
            <w:r>
              <w:t>78</w:t>
            </w:r>
          </w:p>
        </w:tc>
      </w:tr>
    </w:tbl>
    <w:p w:rsidR="006F7741" w:rsidRPr="00AB0136" w:rsidRDefault="006F7741" w:rsidP="000142A7">
      <w:pPr>
        <w:spacing w:after="0" w:line="360" w:lineRule="auto"/>
      </w:pPr>
    </w:p>
    <w:sectPr w:rsidR="006F7741" w:rsidRPr="00AB0136" w:rsidSect="000142A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36"/>
    <w:rsid w:val="000142A7"/>
    <w:rsid w:val="00021964"/>
    <w:rsid w:val="000518EA"/>
    <w:rsid w:val="001E55D7"/>
    <w:rsid w:val="002D597F"/>
    <w:rsid w:val="00337E1D"/>
    <w:rsid w:val="003E27C7"/>
    <w:rsid w:val="00475033"/>
    <w:rsid w:val="004943E3"/>
    <w:rsid w:val="00605689"/>
    <w:rsid w:val="006A18D5"/>
    <w:rsid w:val="006B745A"/>
    <w:rsid w:val="006F7741"/>
    <w:rsid w:val="00967447"/>
    <w:rsid w:val="00A45AE0"/>
    <w:rsid w:val="00A62D9A"/>
    <w:rsid w:val="00AA751C"/>
    <w:rsid w:val="00AB0136"/>
    <w:rsid w:val="00AF0E99"/>
    <w:rsid w:val="00B12313"/>
    <w:rsid w:val="00BA0C7D"/>
    <w:rsid w:val="00C16F4C"/>
    <w:rsid w:val="00C411AC"/>
    <w:rsid w:val="00C66A2A"/>
    <w:rsid w:val="00C9737A"/>
    <w:rsid w:val="00CB1683"/>
    <w:rsid w:val="00CD600B"/>
    <w:rsid w:val="00CF790F"/>
    <w:rsid w:val="00D65E63"/>
    <w:rsid w:val="00FC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63"/>
    <w:pPr>
      <w:spacing w:after="200"/>
    </w:pPr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qFormat/>
    <w:locked/>
    <w:rsid w:val="00D65E63"/>
    <w:pPr>
      <w:keepNext/>
      <w:keepLines/>
      <w:spacing w:before="160" w:after="160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2">
    <w:name w:val="heading 2"/>
    <w:aliases w:val="статья"/>
    <w:basedOn w:val="a"/>
    <w:next w:val="a"/>
    <w:link w:val="20"/>
    <w:unhideWhenUsed/>
    <w:qFormat/>
    <w:locked/>
    <w:rsid w:val="00B12313"/>
    <w:pPr>
      <w:keepNext/>
      <w:keepLines/>
      <w:spacing w:before="120" w:after="4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3">
    <w:name w:val="heading 3"/>
    <w:aliases w:val="фирма"/>
    <w:basedOn w:val="a"/>
    <w:next w:val="a"/>
    <w:link w:val="30"/>
    <w:unhideWhenUsed/>
    <w:qFormat/>
    <w:locked/>
    <w:rsid w:val="004943E3"/>
    <w:pPr>
      <w:keepNext/>
      <w:keepLines/>
      <w:spacing w:after="40"/>
      <w:outlineLvl w:val="2"/>
    </w:pPr>
    <w:rPr>
      <w:rFonts w:eastAsiaTheme="majorEastAsia" w:cstheme="majorBidi"/>
      <w:bCs/>
      <w:i/>
      <w:sz w:val="18"/>
    </w:rPr>
  </w:style>
  <w:style w:type="paragraph" w:styleId="4">
    <w:name w:val="heading 4"/>
    <w:basedOn w:val="a"/>
    <w:next w:val="a"/>
    <w:link w:val="40"/>
    <w:unhideWhenUsed/>
    <w:qFormat/>
    <w:locked/>
    <w:rsid w:val="004943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AA75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5E63"/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a4">
    <w:name w:val="Subtitle"/>
    <w:aliases w:val="резюме"/>
    <w:basedOn w:val="a"/>
    <w:next w:val="a"/>
    <w:link w:val="a5"/>
    <w:qFormat/>
    <w:locked/>
    <w:rsid w:val="00CF790F"/>
    <w:pPr>
      <w:numPr>
        <w:ilvl w:val="1"/>
      </w:numPr>
      <w:spacing w:after="0"/>
      <w:ind w:left="454"/>
      <w:jc w:val="both"/>
    </w:pPr>
    <w:rPr>
      <w:rFonts w:eastAsiaTheme="majorEastAsia" w:cstheme="majorBidi"/>
      <w:iCs/>
      <w:sz w:val="18"/>
      <w:szCs w:val="24"/>
    </w:rPr>
  </w:style>
  <w:style w:type="character" w:customStyle="1" w:styleId="a5">
    <w:name w:val="Подзаголовок Знак"/>
    <w:aliases w:val="резюме Знак"/>
    <w:basedOn w:val="a0"/>
    <w:link w:val="a4"/>
    <w:rsid w:val="00CF790F"/>
    <w:rPr>
      <w:rFonts w:ascii="Times New Roman" w:eastAsiaTheme="majorEastAsia" w:hAnsi="Times New Roman" w:cstheme="majorBidi"/>
      <w:iCs/>
      <w:sz w:val="18"/>
      <w:szCs w:val="24"/>
    </w:rPr>
  </w:style>
  <w:style w:type="character" w:customStyle="1" w:styleId="20">
    <w:name w:val="Заголовок 2 Знак"/>
    <w:aliases w:val="статья Знак"/>
    <w:basedOn w:val="a0"/>
    <w:link w:val="2"/>
    <w:rsid w:val="00B12313"/>
    <w:rPr>
      <w:rFonts w:ascii="Arial" w:eastAsiaTheme="majorEastAsia" w:hAnsi="Arial" w:cstheme="majorBidi"/>
      <w:b/>
      <w:bCs/>
      <w:szCs w:val="26"/>
    </w:rPr>
  </w:style>
  <w:style w:type="character" w:customStyle="1" w:styleId="30">
    <w:name w:val="Заголовок 3 Знак"/>
    <w:aliases w:val="фирма Знак"/>
    <w:basedOn w:val="a0"/>
    <w:link w:val="3"/>
    <w:rsid w:val="004943E3"/>
    <w:rPr>
      <w:rFonts w:ascii="Times New Roman" w:eastAsiaTheme="majorEastAsia" w:hAnsi="Times New Roman" w:cstheme="majorBidi"/>
      <w:bCs/>
      <w:i/>
      <w:sz w:val="18"/>
      <w:szCs w:val="22"/>
    </w:rPr>
  </w:style>
  <w:style w:type="character" w:customStyle="1" w:styleId="40">
    <w:name w:val="Заголовок 4 Знак"/>
    <w:basedOn w:val="a0"/>
    <w:link w:val="4"/>
    <w:rsid w:val="004943E3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a6">
    <w:name w:val="Title"/>
    <w:basedOn w:val="a"/>
    <w:next w:val="a"/>
    <w:link w:val="a7"/>
    <w:qFormat/>
    <w:locked/>
    <w:rsid w:val="00BA0C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BA0C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rsid w:val="00AA751C"/>
    <w:rPr>
      <w:rFonts w:asciiTheme="majorHAnsi" w:eastAsiaTheme="majorEastAsia" w:hAnsiTheme="majorHAnsi" w:cstheme="majorBidi"/>
      <w:color w:val="243F60" w:themeColor="accent1" w:themeShade="7F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63"/>
    <w:pPr>
      <w:spacing w:after="200"/>
    </w:pPr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qFormat/>
    <w:locked/>
    <w:rsid w:val="00D65E63"/>
    <w:pPr>
      <w:keepNext/>
      <w:keepLines/>
      <w:spacing w:before="160" w:after="160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2">
    <w:name w:val="heading 2"/>
    <w:aliases w:val="статья"/>
    <w:basedOn w:val="a"/>
    <w:next w:val="a"/>
    <w:link w:val="20"/>
    <w:unhideWhenUsed/>
    <w:qFormat/>
    <w:locked/>
    <w:rsid w:val="00B12313"/>
    <w:pPr>
      <w:keepNext/>
      <w:keepLines/>
      <w:spacing w:before="120" w:after="4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3">
    <w:name w:val="heading 3"/>
    <w:aliases w:val="фирма"/>
    <w:basedOn w:val="a"/>
    <w:next w:val="a"/>
    <w:link w:val="30"/>
    <w:unhideWhenUsed/>
    <w:qFormat/>
    <w:locked/>
    <w:rsid w:val="004943E3"/>
    <w:pPr>
      <w:keepNext/>
      <w:keepLines/>
      <w:spacing w:after="40"/>
      <w:outlineLvl w:val="2"/>
    </w:pPr>
    <w:rPr>
      <w:rFonts w:eastAsiaTheme="majorEastAsia" w:cstheme="majorBidi"/>
      <w:bCs/>
      <w:i/>
      <w:sz w:val="18"/>
    </w:rPr>
  </w:style>
  <w:style w:type="paragraph" w:styleId="4">
    <w:name w:val="heading 4"/>
    <w:basedOn w:val="a"/>
    <w:next w:val="a"/>
    <w:link w:val="40"/>
    <w:unhideWhenUsed/>
    <w:qFormat/>
    <w:locked/>
    <w:rsid w:val="004943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AA75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5E63"/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a4">
    <w:name w:val="Subtitle"/>
    <w:aliases w:val="резюме"/>
    <w:basedOn w:val="a"/>
    <w:next w:val="a"/>
    <w:link w:val="a5"/>
    <w:qFormat/>
    <w:locked/>
    <w:rsid w:val="00CF790F"/>
    <w:pPr>
      <w:numPr>
        <w:ilvl w:val="1"/>
      </w:numPr>
      <w:spacing w:after="0"/>
      <w:ind w:left="454"/>
      <w:jc w:val="both"/>
    </w:pPr>
    <w:rPr>
      <w:rFonts w:eastAsiaTheme="majorEastAsia" w:cstheme="majorBidi"/>
      <w:iCs/>
      <w:sz w:val="18"/>
      <w:szCs w:val="24"/>
    </w:rPr>
  </w:style>
  <w:style w:type="character" w:customStyle="1" w:styleId="a5">
    <w:name w:val="Подзаголовок Знак"/>
    <w:aliases w:val="резюме Знак"/>
    <w:basedOn w:val="a0"/>
    <w:link w:val="a4"/>
    <w:rsid w:val="00CF790F"/>
    <w:rPr>
      <w:rFonts w:ascii="Times New Roman" w:eastAsiaTheme="majorEastAsia" w:hAnsi="Times New Roman" w:cstheme="majorBidi"/>
      <w:iCs/>
      <w:sz w:val="18"/>
      <w:szCs w:val="24"/>
    </w:rPr>
  </w:style>
  <w:style w:type="character" w:customStyle="1" w:styleId="20">
    <w:name w:val="Заголовок 2 Знак"/>
    <w:aliases w:val="статья Знак"/>
    <w:basedOn w:val="a0"/>
    <w:link w:val="2"/>
    <w:rsid w:val="00B12313"/>
    <w:rPr>
      <w:rFonts w:ascii="Arial" w:eastAsiaTheme="majorEastAsia" w:hAnsi="Arial" w:cstheme="majorBidi"/>
      <w:b/>
      <w:bCs/>
      <w:szCs w:val="26"/>
    </w:rPr>
  </w:style>
  <w:style w:type="character" w:customStyle="1" w:styleId="30">
    <w:name w:val="Заголовок 3 Знак"/>
    <w:aliases w:val="фирма Знак"/>
    <w:basedOn w:val="a0"/>
    <w:link w:val="3"/>
    <w:rsid w:val="004943E3"/>
    <w:rPr>
      <w:rFonts w:ascii="Times New Roman" w:eastAsiaTheme="majorEastAsia" w:hAnsi="Times New Roman" w:cstheme="majorBidi"/>
      <w:bCs/>
      <w:i/>
      <w:sz w:val="18"/>
      <w:szCs w:val="22"/>
    </w:rPr>
  </w:style>
  <w:style w:type="character" w:customStyle="1" w:styleId="40">
    <w:name w:val="Заголовок 4 Знак"/>
    <w:basedOn w:val="a0"/>
    <w:link w:val="4"/>
    <w:rsid w:val="004943E3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a6">
    <w:name w:val="Title"/>
    <w:basedOn w:val="a"/>
    <w:next w:val="a"/>
    <w:link w:val="a7"/>
    <w:qFormat/>
    <w:locked/>
    <w:rsid w:val="00BA0C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BA0C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rsid w:val="00AA751C"/>
    <w:rPr>
      <w:rFonts w:asciiTheme="majorHAnsi" w:eastAsiaTheme="majorEastAsia" w:hAnsiTheme="majorHAnsi" w:cstheme="majorBidi"/>
      <w:color w:val="243F60" w:themeColor="accent1" w:themeShade="7F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</cp:lastModifiedBy>
  <cp:revision>33</cp:revision>
  <dcterms:created xsi:type="dcterms:W3CDTF">2018-03-15T07:41:00Z</dcterms:created>
  <dcterms:modified xsi:type="dcterms:W3CDTF">2020-06-18T11:03:00Z</dcterms:modified>
</cp:coreProperties>
</file>